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StabG</w:t>
      </w:r>
    </w:p>
    <w:p>
      <w:r>
        <w:rPr>
          <w:color w:val="555555"/>
          <w:sz w:val="18"/>
        </w:rPr>
        <w:t xml:space="preserve">Gesetz zur Förderung der Stabilität und des Wachstums der Wirtschaft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Vorschriften der §§ 1, 5, 6 Abs. 1 und 2 gelten für das ERP-Sondervermögen entsprechend.</w:t>
      </w:r>
    </w:p>
    <w:p>
      <w:r>
        <w:t xml:space="preserve">(2) Für die Deutsche Bundesbahn erläßt das Bundesministerium für Verkehr und digitale Infrastruktur im Einvernehmen mit dem Bundesministerium der Finanzen die nach § 1 erforderlichen Anordnungen.</w:t>
      </w:r>
    </w:p>
    <w:p>
      <w:r>
        <w:t xml:space="preserve">(3) Die bundesunmittelbaren Körperschaften, Anstalten und Stiftungen des öffentlichen Rechts sollen im Rahmen der ihnen obliegenden Aufgaben die Ziele des § 1 berücksichtigen.</w:t>
      </w:r>
    </w:p>
    <w:p>
      <w:r>
        <w:rPr>
          <w:color w:val="555555"/>
          <w:sz w:val="17"/>
        </w:rPr>
        <w:t xml:space="preserve">Zitiervorschlag: § 13 StabG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https://recht.nulegal.eu/gesetze/StabG/13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