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StabG</w:t>
      </w:r>
    </w:p>
    <w:p>
      <w:r>
        <w:rPr>
          <w:color w:val="555555"/>
          <w:sz w:val="18"/>
        </w:rPr>
        <w:t xml:space="preserve">Gesetz zur Förderung der Stabilität und des Wachstums der Wirtschaft</w:t>
      </w:r>
    </w:p>
    <w:p>
      <w:r>
        <w:rPr>
          <w:color w:val="555555"/>
          <w:sz w:val="18"/>
        </w:rPr>
        <w:t xml:space="preserve">Stand: 10.06.2019 (konsolidierte Textfassung, kein amtliches Inkrafttretensdatum)</w:t>
      </w:r>
    </w:p>
    <w:p>
      <w:r>
        <w:t xml:space="preserve">Bei einer die Ziele des § 1 gefährdenden Abschwächung der allgemeinen Wirtschaftstätigkeit ist die Planung geeigneter Investitionsvorhaben so zu beschleunigen, daß mit ihrer Durchführung kurzfristig begonnen werden kann. Die zuständigen Bundesministerien haben alle weiteren Maßnahmen zu treffen, die zu einer beschleunigten Vergabe von Investitionsaufträgen erforderlich sind.</w:t>
      </w:r>
    </w:p>
    <w:p>
      <w:r>
        <w:rPr>
          <w:color w:val="555555"/>
          <w:sz w:val="17"/>
        </w:rPr>
        <w:t xml:space="preserve">Zitiervorschlag: § 11 StabG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https://recht.nulegal.eu/gesetze/StabG/11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