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Als Unterlagen für die Finanzplanung stellen die Bundesministerien für ihren Geschäftsbereich mehrjährige Investitionsprogramme auf und übersenden sie mit den sonstigen Bedarfsschätzungen dem Bundesministerium der Finanzen zu dem von ihm zu bestimmenden Zeitpunkt. Die Geschäftsbereiche, für die Investitionsprogramme aufzustellen sind, bestimmt die Bundesregierung.</w:t>
      </w:r>
    </w:p>
    <w:p>
      <w:r>
        <w:t xml:space="preserve">(2) Die Investitionsprogramme haben nach Dringlichkeit und Jahresabschnitten gegliedert die in den nächsten Jahren durchzuführenden Investitionsvorhaben zu erfassen. Jeder Jahresabschnitt soll die fortzuführenden und neuen Investitionsvorhaben mit den auf das betreffende Jahr entfallenden Teilbeträgen wiedergeben. Finanzierungshilfen des Bundes für Investitionen Dritter sind bei Anwendung gleicher Gliederungsgrundsätze unter Kenntlichmachung der Finanzierungsart in einem besonderen Teil zu erfassen.</w:t>
      </w:r>
    </w:p>
    <w:p>
      <w:r>
        <w:t xml:space="preserve">(3) Die Investitionsprogramme sind jährlich der Entwicklung anzupassen und fortzuführen.</w:t>
      </w:r>
    </w:p>
    <w:p>
      <w:r>
        <w:rPr>
          <w:color w:val="555555"/>
          <w:sz w:val="17"/>
        </w:rPr>
        <w:t xml:space="preserve">Zitiervorschlag: § 10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