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StabG</w:t>
      </w:r>
    </w:p>
    <w:p>
      <w:r>
        <w:rPr>
          <w:color w:val="555555"/>
          <w:sz w:val="18"/>
        </w:rPr>
        <w:t xml:space="preserve">Gesetz zur Förderung der Stabilität und des Wachstums der Wirtschaft</w:t>
      </w:r>
    </w:p>
    <w:p>
      <w:r>
        <w:rPr>
          <w:color w:val="555555"/>
          <w:sz w:val="18"/>
        </w:rPr>
        <w:t xml:space="preserve">Stand: 10.06.2019 (konsolidierte Textfassung, kein amtliches Inkrafttretensdatum)</w:t>
      </w:r>
    </w:p>
    <w:p>
      <w:r>
        <w:t xml:space="preserve">Bund und Länder haben bei ihren wirtschafts- und finanzpolitischen Maßnahmen die Erfordernisse des gesamtwirtschaftlichen Gleichgewichts zu beachten. Die Maßnahmen sind so zu treffen, daß sie im Rahmen der marktwirtschaftlichen Ordnung gleichzeitig zur Stabilität des Preisniveaus, zu einem hohen Beschäftigungsstand und außenwirtschaftlichem Gleichgewicht bei stetigem und angemessenem Wirtschaftswachstum beitragen.</w:t>
      </w:r>
    </w:p>
    <w:p>
      <w:r>
        <w:rPr>
          <w:color w:val="555555"/>
          <w:sz w:val="17"/>
        </w:rPr>
        <w:t xml:space="preserve">Zitiervorschlag: § 1 StabG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https://recht.nulegal.eu/gesetze/StabG/1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