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Staatsschuldbuchgesetz (Bayern) — Durchführungsbestimmungen</w:t>
      </w:r>
    </w:p>
    <w:p>
      <w:r>
        <w:rPr>
          <w:color w:val="555555"/>
          <w:sz w:val="18"/>
        </w:rPr>
        <w:t xml:space="preserve">Gesetz über das Staatsschuldbuch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erlässt die zur Durchführung des Gesetzes erforderlichen Vorschriften.</w:t>
      </w:r>
    </w:p>
    <w:p>
      <w:r>
        <w:rPr>
          <w:color w:val="555555"/>
          <w:sz w:val="17"/>
        </w:rPr>
        <w:t xml:space="preserve">Zitiervorschlag: Art 4 Staatsschuldbuchgesetz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https://recht.nulegal.eu/gesetze/Staatsschuldbuchgesetz/4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