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Staatsschuldbuchgesetz (Bayern) — Inhalt des Staatsschuldbuchs</w:t>
      </w:r>
    </w:p>
    <w:p>
      <w:r>
        <w:rPr>
          <w:color w:val="555555"/>
          <w:sz w:val="18"/>
        </w:rPr>
        <w:t xml:space="preserve">Gesetz über das Staatsschuldbuch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das Staatsschuldbuch werden aufgenommen:</w:t>
      </w:r>
    </w:p>
    <w:p>
      <w:r>
        <w:t xml:space="preserve">In Abteilung A:</w:t>
      </w:r>
    </w:p>
    <w:p>
      <w:r>
        <w:t xml:space="preserve">Sammel- und Einzelschuldbuchforderungen, die auf Zahlung einer Geldsumme lauten und ihrer Art nach in Schuldverschreibungen verbrieft werden können. Das Landesamt für Finanzen – Staatsschuldenverwaltung – kann mit vorheriger Zustimmung des Staatsministeriums der Finanzen und für Heimat (Staatsministerium) für weitere Schuldbuchforderungen zusätzliche Abteilungen einrichten.</w:t>
      </w:r>
    </w:p>
    <w:p>
      <w:r>
        <w:t xml:space="preserve">(2) Über die Schuldbuchfähigkeit von durch Gesetz oder Rechtsgeschäft begründeten Forderungen entscheidet das Staatsministerium.</w:t>
      </w:r>
    </w:p>
    <w:p>
      <w:r>
        <w:rPr>
          <w:color w:val="555555"/>
          <w:sz w:val="17"/>
        </w:rPr>
        <w:t xml:space="preserve">Zitiervorschlag: Art 2 Staatsschuldbuchgesetz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https://recht.nulegal.eu/gesetze/Staatsschuldbuchgesetz/2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