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Staatsschuldbuchgesetz (Bayern) — Staatsschuldbuch</w:t>
      </w:r>
    </w:p>
    <w:p>
      <w:r>
        <w:rPr>
          <w:color w:val="555555"/>
          <w:sz w:val="18"/>
        </w:rPr>
        <w:t xml:space="preserve">Gesetz über das Staatsschuldbuch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Freistaat Bayern wird ein Staatsschuldbuch eingerichtet. Dieses kann in elektronischer Form geführt werden. Es dient der Begründung, Dokumentation und Verwaltung der dort eingetragenen Schulden und sonstigen Verbindlichkeiten.</w:t>
      </w:r>
    </w:p>
    <w:p>
      <w:r>
        <w:t xml:space="preserve">(2) Das Staatsschuldbuch wird vom Landesamt für Finanzen – Staatsschuldenverwaltung – geführt.</w:t>
      </w:r>
    </w:p>
    <w:p>
      <w:r>
        <w:rPr>
          <w:color w:val="555555"/>
          <w:sz w:val="17"/>
        </w:rPr>
        <w:t xml:space="preserve">Zitiervorschlag: Art 1 Staatsschuldbuchgesetz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https://recht.nulegal.eu/gesetze/Staatsschuldbuchgesetz/1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