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Staatshaftungsgesetz (Brandenburg) — Leistung des Schadensersatzes</w:t>
      </w:r>
    </w:p>
    <w:p>
      <w:r>
        <w:rPr>
          <w:color w:val="555555"/>
          <w:sz w:val="18"/>
        </w:rPr>
        <w:t xml:space="preserve">Gesetz zur Regelung der Staatshaftung in der Deutschen Demokratischen Republik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Schadensersatz ist aus den Haushaltsmitteln oder den</w:t>
      </w:r>
    </w:p>
    <w:p>
      <w:r>
        <w:t xml:space="preserve">finanziellen Fonds des staatlichen Organs oder der staatlichen Einrichtung zu</w:t>
      </w:r>
    </w:p>
    <w:p>
      <w:r>
        <w:t xml:space="preserve">leisten, deren Mitarbeiter oder Beauftragte den Schaden rechtswidrig verursacht</w:t>
      </w:r>
    </w:p>
    <w:p>
      <w:r>
        <w:t xml:space="preserve">haben.</w:t>
      </w:r>
    </w:p>
    <w:p>
      <w:r>
        <w:rPr>
          <w:color w:val="555555"/>
          <w:sz w:val="17"/>
        </w:rPr>
        <w:t xml:space="preserve">Zitiervorschlag: § 8 Staatshaftungsgesetz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https://recht.nulegal.eu/gesetze/Staatshaftungsgesetz/8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Staatshaftungsgesetz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