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11 Staatshaftungsgesetz (Brandenburg) — Durchführungsverordnungen</w:t>
      </w:r>
    </w:p>
    <w:p>
      <w:r>
        <w:rPr>
          <w:color w:val="555555"/>
          <w:sz w:val="18"/>
        </w:rPr>
        <w:t xml:space="preserve">Gesetz zur Regelung der Staatshaftung in der Deutschen Demokratischen Republik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Durchführungsverordnungen zu diesem Gesetz</w:t>
      </w:r>
    </w:p>
    <w:p>
      <w:r>
        <w:t xml:space="preserve">erläßt der Ministerrat.</w:t>
      </w:r>
    </w:p>
    <w:p>
      <w:r>
        <w:rPr>
          <w:color w:val="555555"/>
          <w:sz w:val="17"/>
        </w:rPr>
        <w:t xml:space="preserve">Zitiervorschlag: § 11 Staatshaftungsgesetz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https://recht.nulegal.eu/gesetze/Staatshaftungsgesetz/11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