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IV. StaatsbegrAnO</w:t>
      </w:r>
    </w:p>
    <w:p>
      <w:r>
        <w:rPr>
          <w:color w:val="555555"/>
          <w:sz w:val="18"/>
        </w:rPr>
        <w:t xml:space="preserve">Anordnung über Staatsbegräbnisse und Staatsakte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Durchführung von Staatsbegräbnissen und Staatsakten obliegt dem Bundesminister des Innern; für Mitglieder des Bundestages, des Bundesrates und des Bundesverfassungsgerichts kann der Bundespräsident den Präsidenten dieser Verfassungsorgane die Durchführung übertragen.</w:t>
      </w:r>
    </w:p>
    <w:p>
      <w:r>
        <w:rPr>
          <w:color w:val="555555"/>
          <w:sz w:val="17"/>
        </w:rPr>
        <w:t xml:space="preserve">Zitiervorschlag: IV. StaatsbegrAnO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https://recht.nulegal.eu/gesetze/StaatsbegrAnO/iv.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