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StaatsbegrAnO</w:t>
      </w:r>
    </w:p>
    <w:p>
      <w:r>
        <w:rPr>
          <w:color w:val="555555"/>
          <w:sz w:val="18"/>
        </w:rPr>
        <w:t xml:space="preserve">Anordnung über Staatsbegräbnisse und Staatsakte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Anordnungen nach I und II trifft der Bundespräsident.</w:t>
      </w:r>
    </w:p>
    <w:p>
      <w:r>
        <w:rPr>
          <w:color w:val="555555"/>
          <w:sz w:val="17"/>
        </w:rPr>
        <w:t xml:space="preserve">Zitiervorschlag: III. StaatsbegrAnO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https://recht.nulegal.eu/gesetze/StaatsbegrAnO/iii.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