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StaatsbegrAnO</w:t>
      </w:r>
    </w:p>
    <w:p>
      <w:r>
        <w:rPr>
          <w:color w:val="555555"/>
          <w:sz w:val="18"/>
        </w:rPr>
        <w:t xml:space="preserve">Anordnung über Staatsbegräbnisse und Staatsakte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Persönlichkeiten des öffentlichen Lebens, die sich um das deutsche Volk hervorragend verdient gemacht haben, kann von der Bundesrepublik Deutschland ein Staatsbegräbnis gewährt werden.</w:t>
      </w:r>
    </w:p>
    <w:p>
      <w:r>
        <w:rPr>
          <w:color w:val="555555"/>
          <w:sz w:val="17"/>
        </w:rPr>
        <w:t xml:space="preserve">Zitiervorschlag: I. StaatsbegrAnO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https://recht.nulegal.eu/gesetze/StaatsbegrAnO/i.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