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StaaV</w:t>
      </w:r>
    </w:p>
    <w:p>
      <w:r>
        <w:rPr>
          <w:color w:val="555555"/>
          <w:sz w:val="18"/>
        </w:rPr>
        <w:t xml:space="preserve">Stromangebotsausweitungsverordnung</w:t>
      </w:r>
    </w:p>
    <w:p>
      <w:r>
        <w:rPr>
          <w:color w:val="555555"/>
          <w:sz w:val="18"/>
        </w:rPr>
        <w:t xml:space="preserve">Stand: 15.07.2022 (konsolidierte Textfassung, kein amtliches Inkrafttretensdatum)</w:t>
      </w:r>
    </w:p>
    <w:p>
      <w:r>
        <w:t xml:space="preserve">Auf Grund des § 50a Absatz 1 des Energiewirtschaftsgesetzes vom 7. Juli 2005 (BGBl. I S. 1970, 3621), der durch Artikel 1 Nummer 5 des Gesetzes vom 8. Juli 2022 (BGBl. I S. 1054) eingefügt worden ist, verordnet die Bundesregierung:</w:t>
      </w:r>
    </w:p>
    <w:p>
      <w:r>
        <w:rPr>
          <w:color w:val="555555"/>
          <w:sz w:val="17"/>
        </w:rPr>
        <w:t xml:space="preserve">Zitiervorschlag: Eingangsformel StaaV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