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StaRUG — (zu § 5 Satz 2) Notwendige Angaben im Restrukturierungsplan</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(Fundstelle: BGBl. I 2020, 3280)</w:t>
      </w:r>
    </w:p>
    <w:p>
      <w:r>
        <w:t xml:space="preserve">Neben den sich aus den §§ 5 bis 15 ergebenden Angaben hat der Restrukturierungsplan mindestens die folgenden Angaben zu enthalten:</w:t>
      </w:r>
    </w:p>
    <w:p>
      <w:pPr>
        <w:ind w:left="420"/>
      </w:pPr>
      <w:r>
        <w:t xml:space="preserve">1. Firma oder Namen und Vornamen, Geburtsdatum, Registergericht und Registernummer, unter der der Schuldner in das Handelsregister eingetragen ist, Geschäftszweig oder Beschäftigung, gewerbliche Niederlassungen oder Wohnung des Schuldners und bei mehreren Niederlassungen die Hauptniederlassung;</w:t>
      </w:r>
    </w:p>
    <w:p>
      <w:pPr>
        <w:ind w:left="420"/>
      </w:pPr>
      <w:r>
        <w:t xml:space="preserve">2. die Vermögenswerte und Verbindlichkeiten des Schuldners zum Zeitpunkt der Vorlage des Restrukturierungsplans, einschließlich einer Bewertung der Vermögenswerte, eine Beschreibung der wirtschaftlichen Situation des Schuldners und der Position der Arbeitnehmer sowie eine Beschreibung der Ursachen und des Umfangs der wirtschaftlichen Schwierigkeiten des Schuldners;</w:t>
      </w:r>
    </w:p>
    <w:p>
      <w:pPr>
        <w:ind w:left="420"/>
      </w:pPr>
      <w:r>
        <w:t xml:space="preserve">3. die Planbetroffenen, die entweder namentlich zu benennen oder unter hinreichend konkreter Bezeichnung der Forderungen oder Rechte zu beschreiben sind;</w:t>
      </w:r>
    </w:p>
    <w:p>
      <w:pPr>
        <w:ind w:left="420"/>
      </w:pPr>
      <w:r>
        <w:t xml:space="preserve">4. die Gruppen, in welche die Planbetroffenen für die Zwecke der Annahme des Restrukturierungsplans unterteilt wurden, und die auf deren Forderungen und Rechte entfallenden Stimmrechte;</w:t>
      </w:r>
    </w:p>
    <w:p>
      <w:pPr>
        <w:ind w:left="420"/>
      </w:pPr>
      <w:r>
        <w:t xml:space="preserve">5. die Gläubiger, Inhaber von Absonderungsanwartschaften sowie Inhaber von Anteils- oder Mitgliedschaftsrechten, die nicht in den Restrukturierungsplan einbezogen wurden, zusammen mit einer Erläuterung der Gründe für die unterbliebene Einbeziehung; eine Beschreibung unter Bezugnahme auf Kategorien gleichartiger Gläubiger, Inhaber von Absonderungsanwartschaften sowie Inhaber von Anteils- oder Mitgliedschaftsrechten genügt, wenn dadurch die Überprüfung der sachgerechten Abgrenzung nach § 8 nicht erschwert wird;</w:t>
      </w:r>
    </w:p>
    <w:p>
      <w:pPr>
        <w:ind w:left="420"/>
      </w:pPr>
      <w:r>
        <w:t xml:space="preserve">6. Name und Anschrift des Restrukturierungsbeauftragten, sofern ein solcher bestellt ist;</w:t>
      </w:r>
    </w:p>
    <w:p>
      <w:pPr>
        <w:ind w:left="420"/>
      </w:pPr>
      <w:r>
        <w:t xml:space="preserve">7. die Auswirkungen des Restrukturierungsvorhabens auf die Beschäftigungsverhältnisse sowie Entlassungen und Kurzarbeiterregelungen und die Modalitäten der Unterrichtung und Anhörung der Arbeitnehmervertretung;</w:t>
      </w:r>
    </w:p>
    <w:p>
      <w:pPr>
        <w:ind w:left="420"/>
      </w:pPr>
      <w:r>
        <w:t xml:space="preserve">8. sofern der Restrukturierungsplan eine neue Finanzierung (§ 12) vorsieht, die Gründe für die Erforderlichkeit dieser Finanzierung.</w:t>
      </w:r>
    </w:p>
    <w:p>
      <w:r>
        <w:rPr>
          <w:color w:val="555555"/>
          <w:sz w:val="17"/>
        </w:rPr>
        <w:t xml:space="preserve">Zitiervorschlag: Anlage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