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StaRUG — Abberufung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Sanierungsmoderator wird abberufen:</w:t>
      </w:r>
    </w:p>
    <w:p>
      <w:pPr>
        <w:ind w:left="420"/>
      </w:pPr>
      <w:r>
        <w:t xml:space="preserve">1. auf eigenen Antrag oder auf Antrag des Schuldners,</w:t>
      </w:r>
    </w:p>
    <w:p>
      <w:pPr>
        <w:ind w:left="420"/>
      </w:pPr>
      <w:r>
        <w:t xml:space="preserve">2. von Amts wegen, wenn dem Restrukturierungsgericht durch den Moderator die Insolvenzreife des Schuldners angezeigt wurde.</w:t>
      </w:r>
    </w:p>
    <w:p>
      <w:r>
        <w:t xml:space="preserve">(2) Wird der Moderator nach Absatz 1 Nummer 1 abberufen, bestellt das Gericht auf Antrag des Schuldners einen anderen Moderator.</w:t>
      </w:r>
    </w:p>
    <w:p>
      <w:r>
        <w:rPr>
          <w:color w:val="555555"/>
          <w:sz w:val="17"/>
        </w:rPr>
        <w:t xml:space="preserve">Zitiervorschlag: § 99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