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StaRUG — Vergütung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Der Sanierungsmoderator hat Anspruch auf eine angemessene Vergütung. Diese bemisst sich nach dem Zeit- und Sachaufwand der mit der Sanierungsmoderation verbundenen Aufgaben.</w:t>
      </w:r>
    </w:p>
    <w:p>
      <w:r>
        <w:t xml:space="preserve">(2) Die §§ 80 bis 83 finden entsprechende Anwendung.</w:t>
      </w:r>
    </w:p>
    <w:p>
      <w:r>
        <w:rPr>
          <w:color w:val="555555"/>
          <w:sz w:val="17"/>
        </w:rPr>
        <w:t xml:space="preserve">Zitiervorschlag: § 98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