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StaRUG — Gläubigerbeirat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Sollen in einer Restrukturierungssache mit Ausnahme der in § 4 genannten Forderungen die Forderungen aller Gläubiger durch einen Restrukturierungsplan gestaltet werden, und weist die Restrukturierungssache gesamtverfahrensartige Züge auf, kann das Gericht einen Gläubigerbeirat einsetzen. § 21 Absatz 2 Satz 1 Nummer 1a der Insolvenzordnung gilt entsprechend. In dem Beirat können auch nicht planbetroffene Gläubiger vertreten sein.</w:t>
      </w:r>
    </w:p>
    <w:p>
      <w:r>
        <w:t xml:space="preserve">(2) Ist ein Gläubigerbeirat eingerichtet, tritt an die Stelle des gemeinschaftlichen Vorschlags der Planbetroffenen nach § 74 Absatz 2 Satz 3 der einstimmige Beschluss des Gläubigerbeirats.</w:t>
      </w:r>
    </w:p>
    <w:p>
      <w:r>
        <w:t xml:space="preserve">(3) Die Mitglieder des Beirats unterstützen und überwachen den Schuldner bei seiner Geschäftsführung. Der Schuldner zeigt dem Beirat die Inanspruchnahme der Instrumente des Stabilisierungs- und Restrukturierungsrahmens an.</w:t>
      </w:r>
    </w:p>
    <w:p>
      <w:r>
        <w:t xml:space="preserve">(4) Die Mitglieder des Gläubigerbeirates haben Anspruch auf Vergütung für ihre Tätigkeit und auf Erstattung angemessener Auslagen. Die Höhe der Vergütung richtet sich nach § 17 der Insolvenzrechtlichen Vergütungsverordnung.</w:t>
      </w:r>
    </w:p>
    <w:p>
      <w:r>
        <w:rPr>
          <w:color w:val="555555"/>
          <w:sz w:val="17"/>
        </w:rPr>
        <w:t xml:space="preserve">Zitiervorschlag: § 93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