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92 StaRUG — Beteiligungsrechte nach dem Betriebsverfassungsgesetz</w:t>
      </w:r>
    </w:p>
    <w:p>
      <w:r>
        <w:rPr>
          <w:color w:val="555555"/>
          <w:sz w:val="18"/>
        </w:rPr>
        <w:t xml:space="preserve">Unternehmensstabilisierungs- und -restrukturierungsgesetz</w:t>
      </w:r>
    </w:p>
    <w:p>
      <w:r>
        <w:rPr>
          <w:color w:val="555555"/>
          <w:sz w:val="18"/>
        </w:rPr>
        <w:t xml:space="preserve">Stand: 01.01.2021 (konsolidierte Textfassung, kein amtliches Inkrafttretensdatum)</w:t>
      </w:r>
    </w:p>
    <w:p>
      <w:r>
        <w:t xml:space="preserve">Die Verpflichtungen des Schuldners gegenüber den Arbeitnehmervertretungsorganen und deren Beteiligungsrechte nach dem Betriebsverfassungsgesetz bleiben von diesem Gesetz unberührt.</w:t>
      </w:r>
    </w:p>
    <w:p>
      <w:r>
        <w:rPr>
          <w:color w:val="555555"/>
          <w:sz w:val="17"/>
        </w:rPr>
        <w:t xml:space="preserve">Zitiervorschlag: § 92 StaRUG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https://recht.nulegal.eu/gesetze/StaRUG/92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