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StaRUG — Berechnung von Fristen</w:t>
      </w:r>
    </w:p>
    <w:p>
      <w:r>
        <w:rPr>
          <w:color w:val="555555"/>
          <w:sz w:val="18"/>
        </w:rPr>
        <w:t xml:space="preserve">Unternehmensstabilisierungs- und -restrukturierungsgesetz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In die Fristen der §§ 3 bis 6a des Anfechtungsgesetzes sowie der §§ 88, 130 bis 136 der Insolvenzordnung wird die Zeit der Rechtshängigkeit der Restrukturierungssache nicht eingerechnet.</w:t>
      </w:r>
    </w:p>
    <w:p>
      <w:r>
        <w:rPr>
          <w:color w:val="555555"/>
          <w:sz w:val="17"/>
        </w:rPr>
        <w:t xml:space="preserve">Zitiervorschlag: § 91 StaRUG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https://recht.nulegal.eu/gesetze/StaRUG/91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