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StaRUG — Planfolgen und Planvollzug</w:t>
      </w:r>
    </w:p>
    <w:p>
      <w:r>
        <w:rPr>
          <w:color w:val="555555"/>
          <w:sz w:val="18"/>
        </w:rPr>
        <w:t xml:space="preserve">Unternehmensstabilisierungs- und -restrukturierungsgesetz</w:t>
      </w:r>
    </w:p>
    <w:p>
      <w:r>
        <w:rPr>
          <w:color w:val="555555"/>
          <w:sz w:val="18"/>
        </w:rPr>
        <w:t xml:space="preserve">Stand: 27.07.2022 (konsolidierte Textfassung, kein amtliches Inkrafttretensdatum)</w:t>
      </w:r>
    </w:p>
    <w:p>
      <w:r>
        <w:t xml:space="preserve">(1) Die Regelungen eines rechtskräftig bestätigten Restrukturierungsplans und Rechtshandlungen, die im Vollzug eines solchen Plans erfolgen, sind mit Ausnahme von Forderungen im Rang des § 39 Absatz 1 Nummer 5 der Insolvenzordnung und Sicherheitsleistungen, die nach § 135 der Insolvenzordnung oder den §§ 6 und 6a des Anfechtungsgesetzes anfechtbar sind, bis zur nachhaltigen Restrukturierung einer Anfechtung nur zugänglich, wenn die Bestätigung auf der Grundlage unrichtiger oder unvollständiger Angaben des Schuldners erfolgte und dem anderen Teil dies bekannt war.</w:t>
      </w:r>
    </w:p>
    <w:p>
      <w:r>
        <w:t xml:space="preserve">(2) Sieht der gestaltende Teil des Restrukturierungsplans die Übertragung des gesamten schuldnerischen Vermögens oder wesentlicher Teile davon vor, gilt Absatz 1 nur, soweit sichergestellt wird, dass die Gläubiger, die nicht planbetroffen sind, sich gegenüber den Planbetroffenen vorrangig aus der dem Wert des Gegenstands der Übertragung angemessenen Gegenleistung befriedigen können.</w:t>
      </w:r>
    </w:p>
    <w:p>
      <w:r>
        <w:rPr>
          <w:color w:val="555555"/>
          <w:sz w:val="17"/>
        </w:rPr>
        <w:t xml:space="preserve">Zitiervorschlag: § 90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