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StaRUG — Einteilung der Planbetroffenen in Gruppen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Bei der Festlegung der Rechte der Planbetroffenen im Restrukturierungsplan sind Gruppen zu bilden, soweit Planbetroffene mit unterschiedlicher Rechtsstellung betroffen sind. Es ist zu unterscheiden zwischen</w:t>
      </w:r>
    </w:p>
    <w:p>
      <w:pPr>
        <w:ind w:left="420"/>
      </w:pPr>
      <w:r>
        <w:t xml:space="preserve">1. den Inhabern von Absonderungsanwartschaften,</w:t>
      </w:r>
    </w:p>
    <w:p>
      <w:pPr>
        <w:ind w:left="420"/>
      </w:pPr>
      <w:r>
        <w:t xml:space="preserve">2. den Inhabern von Forderungen, die im Fall der Eröffnung eines Insolvenzverfahrens als nicht nachrangige Insolvenzforderungen geltend zu machen wären, nebst darauf entfallender Zinsen und Säumniszuschläge (einfache Restrukturierungsgläubiger),</w:t>
      </w:r>
    </w:p>
    <w:p>
      <w:pPr>
        <w:ind w:left="420"/>
      </w:pPr>
      <w:r>
        <w:t xml:space="preserve">3. den Inhabern von Forderungen, die im Fall der Eröffnung eines Insolvenzverfahrens nach § 39 Absatz 1 Nummer 4, 5 oder Absatz 2 der Insolvenzordnung als nachrangige Insolvenzforderungen anzumelden wären (nachrangige Restrukturierungsgläubiger), wobei für jede Rangklasse eine Gruppe zu bilden ist, und</w:t>
      </w:r>
    </w:p>
    <w:p>
      <w:pPr>
        <w:ind w:left="420"/>
      </w:pPr>
      <w:r>
        <w:t xml:space="preserve">4. den Inhabern von Anteils- oder Mitgliedschaftsrechten.</w:t>
      </w:r>
    </w:p>
    <w:p>
      <w:r>
        <w:t xml:space="preserve">Sieht der gestaltende Teil des Restrukturierungsplans Eingriffe in die Rechte von Gläubigern aus gruppeninternen Drittsicherheiten vor, bilden die davon betroffenen Gläubiger eigenständige Gruppen.</w:t>
      </w:r>
    </w:p>
    <w:p>
      <w:r>
        <w:t xml:space="preserve">(2) Die Gruppen können nach Maßgabe wirtschaftlicher Interessen in weitere Gruppen unterteilt werden. Sie müssen sachgerecht voneinander abgegrenzt werden. Die Kriterien für die Abgrenzung sind im Plan anzugeben. Kleingläubiger sind im Rahmen der nach Absatz 1 zu bildenden Gruppen zu eigenständigen Gruppen zusammenzufassen.</w:t>
      </w:r>
    </w:p>
    <w:p>
      <w:r>
        <w:rPr>
          <w:color w:val="555555"/>
          <w:sz w:val="17"/>
        </w:rPr>
        <w:t xml:space="preserve">Zitiervorschlag: § 9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