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88 StaRUG — Anwendbarkeit des Artikels 102c des Einführungsgesetzes zur Insolvenzordnung</w:t>
      </w:r>
    </w:p>
    <w:p>
      <w:r>
        <w:rPr>
          <w:color w:val="555555"/>
          <w:sz w:val="18"/>
        </w:rPr>
        <w:t xml:space="preserve">Unternehmensstabilisierungs- und -restrukturierungsgesetz</w:t>
      </w:r>
    </w:p>
    <w:p>
      <w:r>
        <w:rPr>
          <w:color w:val="555555"/>
          <w:sz w:val="18"/>
        </w:rPr>
        <w:t xml:space="preserve">Stand: 17.07.2022 (konsolidierte Textfassung, kein amtliches Inkrafttretensdatum)</w:t>
      </w:r>
    </w:p>
    <w:p>
      <w:r>
        <w:t xml:space="preserve">In öffentlichen Restrukturierungssachen ist Artikel 102c §§ 1, 2, 3 Absatz 1 und 3, die §§ 6, 15, 25 und 26 des Einführungsgesetzes zur Insolvenzordnung entsprechend anwendbar.</w:t>
      </w:r>
    </w:p>
    <w:p>
      <w:r>
        <w:rPr>
          <w:color w:val="555555"/>
          <w:sz w:val="17"/>
        </w:rPr>
        <w:t xml:space="preserve">Zitiervorschlag: § 88 StaRUG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https://recht.nulegal.eu/gesetze/StaRUG/88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