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StaRUG — Besondere Bestimmungen</w:t>
      </w:r>
    </w:p>
    <w:p>
      <w:r>
        <w:rPr>
          <w:color w:val="555555"/>
          <w:sz w:val="18"/>
        </w:rPr>
        <w:t xml:space="preserve">Unternehmensstabilisierungs- und -restrukturierungsgesetz</w:t>
      </w:r>
    </w:p>
    <w:p>
      <w:r>
        <w:rPr>
          <w:color w:val="555555"/>
          <w:sz w:val="18"/>
        </w:rPr>
        <w:t xml:space="preserve">Stand: 17.07.2024 (konsolidierte Textfassung, kein amtliches Inkrafttretensdatum)</w:t>
      </w:r>
    </w:p>
    <w:p>
      <w:r>
        <w:t xml:space="preserve">(1) Öffentlich bekannt zu machen sind die in Artikel 24 Absatz 2 der Verordnung (EU) 2015/848 genannten Angaben.</w:t>
      </w:r>
    </w:p>
    <w:p>
      <w:r>
        <w:t xml:space="preserve">(2) Des Weiteren sind öffentlich bekannt zu machen:</w:t>
      </w:r>
    </w:p>
    <w:p>
      <w:pPr>
        <w:ind w:left="420"/>
      </w:pPr>
      <w:r>
        <w:t xml:space="preserve">1. Ort und Zeit gerichtlicher Termine,</w:t>
      </w:r>
    </w:p>
    <w:p>
      <w:pPr>
        <w:ind w:left="420"/>
      </w:pPr>
      <w:r>
        <w:t xml:space="preserve">2. die Bestellung eines Restrukturierungsbeauftragten,</w:t>
      </w:r>
    </w:p>
    <w:p>
      <w:pPr>
        <w:ind w:left="420"/>
      </w:pPr>
      <w:r>
        <w:t xml:space="preserve">3. die Entscheidungen des Restrukturierungsgerichts nach § 37 Absatz 1 und 2,</w:t>
      </w:r>
    </w:p>
    <w:p>
      <w:pPr>
        <w:ind w:left="420"/>
      </w:pPr>
      <w:r>
        <w:t xml:space="preserve">4. die Stabilisierungsanordnung nach § 49 Absatz 1, wenn sich diese gegen die Gesamtheit der Gläubiger richtet; wurde eine Stabilisierungsanordnung öffentlich bekannt gemacht, ist auch deren Aufhebung nach § 59 Absatz 1 oder Absatz 2 oder deren Beendigung nach § 59 Absatz 4 öffentlich bekannt zu machen,</w:t>
      </w:r>
    </w:p>
    <w:p>
      <w:pPr>
        <w:ind w:left="420"/>
      </w:pPr>
      <w:r>
        <w:t xml:space="preserve">5. die sonstigen Entscheidungen des Restrukturierungsgerichts nach § 72 Absatz 4 sowie nach § 81 Absatz 4 und 6, § 82 Absatz 1 und § 93 Absatz 4, jedoch ohne festgesetzte Stundensätze, ohne Honorar- und Vergütungsbeträge sowie ohne die Höhe der Auslagen,</w:t>
      </w:r>
    </w:p>
    <w:p>
      <w:pPr>
        <w:ind w:left="420"/>
      </w:pPr>
      <w:r>
        <w:t xml:space="preserve">6. der Verlust der Wirkungen der Anzeige gemäß § 31 Absatz 4.</w:t>
      </w:r>
    </w:p>
    <w:p>
      <w:r>
        <w:t xml:space="preserve">(3) Sobald eine Entscheidung, die eine von dem Restrukturierungsgericht öffentlich bekannt gemachte Entscheidung aufhebt oder abändert, Rechtskraft erlangt hat, hat das Restrukturierungsgericht auch die Aufhebung oder Abänderung der Entscheidung öffentlich bekannt zu machen. Satz 1 gilt entsprechend, wenn das Beschwerdegericht gemäß § 66 Absatz 4 die aufschiebende Wirkung der Beschwerde gegen die Bestätigung des Restrukturierungsplans anordnet.</w:t>
      </w:r>
    </w:p>
    <w:p>
      <w:r>
        <w:t xml:space="preserve">(4) Erfolgen öffentliche Bekanntmachungen nach den Absätzen 1 und 2, so ist eine Zustellung von Ladungen zu Terminen gegenüber Aktionären, Kommanditaktionären und Inhabern von Schuldverschreibungen nicht erforderlich. Unterbleibt die Zustellung von Ladungen nach § 45 Absatz 3, sind jedem Planbetroffenen auf dessen Verlangen die Ladung sowie der vollständige Restrukturierungsplan nebst Anlagen elektronisch zuzuleiten oder elektronisch zugänglich zu machen. Handelt es sich bei dem Schuldner um eine börsennotierte Aktiengesellschaft, so ist § 121 Absatz 4a des Aktiengesetzes entsprechend anzuwenden.</w:t>
      </w:r>
    </w:p>
    <w:p>
      <w:r>
        <w:t xml:space="preserve">(5) In den Fällen des Absatzes 2 Nummer 5 sind die vollständigen Beschlüsse und Entscheidungen nach § 81 Absatz 4 und 6, § 82 Absatz 1 und § 93 Absatz 4 in der Geschäftsstelle des Restrukturierungsgerichts zur Einsichtnahme auszulegen. In der Bekanntmachung ist auf die Möglichkeit der Einsichtnahme hinzuweisen.</w:t>
      </w:r>
    </w:p>
    <w:p>
      <w:r>
        <w:rPr>
          <w:color w:val="555555"/>
          <w:sz w:val="17"/>
        </w:rPr>
        <w:t xml:space="preserve">Zitiervorschlag: § 85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