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StaRUG — Vergütung in besonderen Fällen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In besonderen Fällen können Stundensätze als Grundlage für das Honorar festgesetzt werden, welche die Höchstbeträge des § 81 Absatz 3 übersteigen, insbesondere, wenn</w:t>
      </w:r>
    </w:p>
    <w:p>
      <w:pPr>
        <w:ind w:left="420"/>
      </w:pPr>
      <w:r>
        <w:t xml:space="preserve">1. alle voraussichtlichen Auslagenschuldner zustimmen,</w:t>
      </w:r>
    </w:p>
    <w:p>
      <w:pPr>
        <w:ind w:left="420"/>
      </w:pPr>
      <w:r>
        <w:t xml:space="preserve">2. sich ansonsten keine geeignete Person zur Übernahme des Amtes bereit erklärt oder</w:t>
      </w:r>
    </w:p>
    <w:p>
      <w:pPr>
        <w:ind w:left="420"/>
      </w:pPr>
      <w:r>
        <w:t xml:space="preserve">3. die dem Restrukturierungsbeauftragten übertragenen Aufgaben unter den besonderen Umständen der Restrukturierungssache den Aufgaben nahekommen, die einem Sachwalter in einem in Eigenverwaltung geführten Insolvenzverfahren übertragen sind, insbesondere, weil eine allgemeine Stabilisierungsanordnung ergeht oder weil in den Restrukturierungsplan mit Ausnahme der nach § 4 auszunehmenden Gläubiger alle oder im Wesentlichen alle Gläubiger und an dem Schuldner beteiligten Personen einbezogen werden.</w:t>
      </w:r>
    </w:p>
    <w:p>
      <w:r>
        <w:t xml:space="preserve">Im Fall des Satzes 1 Nummer 3 kommt auch eine Vergütung nach anderen Grundsätzen, insbesondere eine Bemessung auf Grundlage des Wertes der in den Restrukturierungsplan einbezogenen Forderungen gegen den Schuldner oder des Unternehmensvermögens in Betracht.</w:t>
      </w:r>
    </w:p>
    <w:p>
      <w:r>
        <w:t xml:space="preserve">(2) Wenn der Restrukturierungsbeauftragte auf Antrag und auf Vorschlag aller voraussichtlichen Auslagenschuldner bestellt wird und der Restrukturierungsbeauftragte und sämtliche Auslagenschuldner eine Vereinbarung über die Vergütung vorlegen, hat das Gericht diese Vereinbarung der Bemessung der Vergütung zugrunde zu legen, wenn die Vereinbarung nicht zu einer unangemessenen Vergütung führt.</w:t>
      </w:r>
    </w:p>
    <w:p>
      <w:r>
        <w:rPr>
          <w:color w:val="555555"/>
          <w:sz w:val="17"/>
        </w:rPr>
        <w:t xml:space="preserve">Zitiervorschlag: § 83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