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StaRUG — Bestellung und Rechtsstellung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Auf die Bestellung des fakultativen Restrukturierungsbeauftragten findet § 74 Absatz 1 entsprechende Anwendung.</w:t>
      </w:r>
    </w:p>
    <w:p>
      <w:r>
        <w:t xml:space="preserve">(2) Wird von Gläubigern, die zusammen alle voraussichtlich in den Restrukturierungsplan einbezogenen Gruppen repräsentieren, ein Vorschlag zur Person des fakultativen Restrukturierungsbeauftragten gemacht, kann das Gericht von diesem nur dann abweichen, wenn die Person offensichtlich ungeeignet ist oder, falls der Beauftragte lediglich zum Zwecke der Förderung der Verhandlungen zwischen den Beteiligten bestellt werden soll, der Schuldner dem Vorschlag widerspricht; eine Abweichung ist zu begründen.</w:t>
      </w:r>
    </w:p>
    <w:p>
      <w:r>
        <w:t xml:space="preserve">(3) Auf die Rechtsstellung des fakultativen Restrukturierungsbeauftragten findet § 75 entsprechende Anwendung.</w:t>
      </w:r>
    </w:p>
    <w:p>
      <w:r>
        <w:rPr>
          <w:color w:val="555555"/>
          <w:sz w:val="17"/>
        </w:rPr>
        <w:t xml:space="preserve">Zitiervorschlag: § 78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