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StaRUG — Aufgaben</w:t>
      </w:r>
    </w:p>
    <w:p>
      <w:r>
        <w:rPr>
          <w:color w:val="555555"/>
          <w:sz w:val="18"/>
        </w:rPr>
        <w:t xml:space="preserve">Unternehmensstabilisierungs- und -restrukturierungsgesetz</w:t>
      </w:r>
    </w:p>
    <w:p>
      <w:r>
        <w:rPr>
          <w:color w:val="555555"/>
          <w:sz w:val="18"/>
        </w:rPr>
        <w:t xml:space="preserve">Stand: 27.07.2022 (konsolidierte Textfassung, kein amtliches Inkrafttretensdatum)</w:t>
      </w:r>
    </w:p>
    <w:p>
      <w:r>
        <w:t xml:space="preserve">(1) Stellt der Restrukturierungsbeauftragte Umstände fest, die eine Aufhebung der Restrukturierungssache nach § 33 rechtfertigen, hat er diese dem Restrukturierungsgericht unverzüglich mitzuteilen.</w:t>
      </w:r>
    </w:p>
    <w:p>
      <w:r>
        <w:t xml:space="preserve">(2) Liegen die Voraussetzungen von § 73 Absatz 1 Nummer 1 oder 2 oder Absatz 2 vor,</w:t>
      </w:r>
    </w:p>
    <w:p>
      <w:pPr>
        <w:ind w:left="420"/>
      </w:pPr>
      <w:r>
        <w:t xml:space="preserve">1. steht dem Restrukturierungsbeauftragten die Entscheidung darüber zu, wie der Restrukturierungsplan zur Abstimmung gebracht wird; erfolgt die Abstimmung nicht im gerichtlichen Verfahren, leitet der Beauftragte die Versammlung der Planbetroffenen und dokumentiert die Abstimmung; der Beauftragte prüft die Forderungen, Absonderungsanwartschaften, gruppeninternen Drittsicherheiten und Anteils- und Mitgliedschaftsrechte der Planbetroffenen; ist eine Restrukturierungsforderung, Absonderungsanwartschaft oder gruppeninterne Drittsicherheit oder ein Anteils- und Mitgliedschaftsrecht dem Grunde oder der Höhe nach streitig oder zweifelhaft, weist er die anderen Planbetroffenen darauf hin und wirkt auf eine Klärung des Stimmrechts im Wege einer Vorprüfung nach den §§ 47 und 48 hin,</w:t>
      </w:r>
    </w:p>
    <w:p>
      <w:pPr>
        <w:ind w:left="420"/>
      </w:pPr>
      <w:r>
        <w:t xml:space="preserve">2. kann das Gericht dem Beauftragten die Befugnis übertragen,</w:t>
      </w:r>
    </w:p>
    <w:p>
      <w:pPr>
        <w:ind w:left="780"/>
      </w:pPr>
      <w:r>
        <w:t xml:space="preserve">a) die wirtschaftliche Lage des Schuldners zu prüfen und dessen Geschäftsführung zu überwachen,</w:t>
      </w:r>
    </w:p>
    <w:p>
      <w:pPr>
        <w:ind w:left="780"/>
      </w:pPr>
      <w:r>
        <w:t xml:space="preserve">b) von dem Schuldner zu verlangen, dass eingehende Gelder nur von dem Beauftragten entgegengenommen und Zahlungen nur von dem Beauftragten geleistet werden können,</w:t>
      </w:r>
    </w:p>
    <w:p>
      <w:pPr>
        <w:ind w:left="420"/>
      </w:pPr>
      <w:r>
        <w:t xml:space="preserve">3. kann das Gericht dem Schuldner aufgeben, dem Beauftragten Zahlungen anzuzeigen und Zahlungen außerhalb des gewöhnlichen Geschäftsbetriebs nur zu tätigen, wenn der Beauftragte zustimmt,</w:t>
      </w:r>
    </w:p>
    <w:p>
      <w:pPr>
        <w:ind w:left="420"/>
      </w:pPr>
      <w:r>
        <w:t xml:space="preserve">4. hat der Beauftragte auch die Aufgabe, den Schuldner und die Gläubiger bei der Ausarbeitung und Aushandlung des Restrukturierungskonzepts und des auf ihm basierenden Plans zu unterstützen.</w:t>
      </w:r>
    </w:p>
    <w:p>
      <w:r>
        <w:t xml:space="preserve">(3) Wird zugunsten des Schuldners eine Stabilisierungsanordnung erlassen,</w:t>
      </w:r>
    </w:p>
    <w:p>
      <w:pPr>
        <w:ind w:left="420"/>
      </w:pPr>
      <w:r>
        <w:t xml:space="preserve">1. prüft der Beauftragte fortlaufend, ob die Anordnungsvoraussetzungen fortbestehen und ob ein Aufhebungsgrund vorliegt; zu diesem Zweck untersucht der Beauftragte die Verhältnisse des Schuldners;</w:t>
      </w:r>
    </w:p>
    <w:p>
      <w:pPr>
        <w:ind w:left="420"/>
      </w:pPr>
      <w:r>
        <w:t xml:space="preserve">2. steht dem Beauftragten das Recht zu, die Gründe für die Aufhebung der Anordnung geltend zu machen.</w:t>
      </w:r>
    </w:p>
    <w:p>
      <w:r>
        <w:t xml:space="preserve">(4) Legt der Schuldner einen Restrukturierungsplan zur Bestätigung vor, nimmt der Beauftragte Stellung zur Erklärung nach § 14 Absatz 1. Erfolgt die Bestellung des Beauftragten vor der Planabstimmung, ist die Stellungnahme den Planbetroffenen als weitere Anlage beizufügen. Der Bericht nach Satz 1 stellt auch die Zweifel am Bestehen oder an der Höhe einer Restrukturierungsforderung, einer Absonderungsanwartschaft, einer gruppeninternen Drittsicherheit oder eines Anteils- und Mitgliedschaftsrechts nach Absatz 2 Nummer 1 Halbsatz 4 oder einen diesbezüglichen Streit dar.</w:t>
      </w:r>
    </w:p>
    <w:p>
      <w:r>
        <w:t xml:space="preserve">(5) Der Schuldner ist verpflichtet, dem Beauftragten die erforderlichen Auskünfte zu erteilen, ihm Einsicht in die Bücher und Geschäftspapiere zu gewähren und ihn bei der Erfüllung seiner Aufgaben zu unterstützen.</w:t>
      </w:r>
    </w:p>
    <w:p>
      <w:r>
        <w:t xml:space="preserve">(6) Das Restrukturierungsgericht kann den Restrukturierungsbeauftragten beauftragen, die dem Gericht obliegenden Zustellungen durchzuführen. Zur Durchführung der Zustellung und zur Erfassung in den Akten kann der Beauftragte sich Dritter, insbesondere auch eigenen Personals, bedienen. Er hat die von ihm nach § 184 Absatz 2 Satz 4 der Zivilprozessordnung angefertigten Vermerke unverzüglich zu den Gerichtsakten zu reichen.</w:t>
      </w:r>
    </w:p>
    <w:p>
      <w:r>
        <w:rPr>
          <w:color w:val="555555"/>
          <w:sz w:val="17"/>
        </w:rPr>
        <w:t xml:space="preserve">Zitiervorschlag: § 76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