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StaRUG — Rechtsstellung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Der Restrukturierungsbeauftragte steht unter der Aufsicht des Restrukturierungsgerichts. Das Gericht kann jederzeit einzelne Auskünfte oder einen Bericht über den Sachstand verlangen.</w:t>
      </w:r>
    </w:p>
    <w:p>
      <w:r>
        <w:t xml:space="preserve">(2) Das Restrukturierungsgericht kann den Restrukturierungsbeauftragten aus wichtigem Grund aus dem Amt entlassen. Die Entlassung kann von Amts wegen oder auf Antrag des Restrukturierungsbeauftragten, des Schuldners oder eines Gläubigers erfolgen. Auf Antrag des Schuldners oder eines Gläubigers erfolgt die Entlassung nur, wenn der Beauftragte nicht unabhängig ist; dies ist von dem Antragsteller glaubhaft zu machen. Vor der Entscheidung ist der Restrukturierungsbeauftragte zu hören.</w:t>
      </w:r>
    </w:p>
    <w:p>
      <w:r>
        <w:t xml:space="preserve">(3) Gegen die Entlassung steht dem Beauftragten die sofortige Beschwerde zu. Gegen die Ablehnung des Antrags steht dem Antragsteller die sofortige Beschwerde zu.</w:t>
      </w:r>
    </w:p>
    <w:p>
      <w:r>
        <w:t xml:space="preserve">(4) Der Restrukturierungsbeauftragte erfüllt seine Aufgaben mit der gebotenen Sorgfalt und Gewissenhaftigkeit. Er nimmt seine Aufgaben unparteiisch wahr. Verletzt er die ihm obliegenden Pflichten in schuldhafter Weise, ist er den Betroffenen zum Schadensersatz verpflichtet. Die Verjährung des Anspruchs auf Ersatz des Schadens, der aus einer Pflichtverletzung des Restrukturierungsbeauftragten entstanden ist, richtet sich nach den Regelungen über die regelmäßige Verjährung nach dem Bürgerlichen Gesetzbuch. Der Anspruch verjährt spätestens in drei Jahren nach der Beendigung der Rechtshängigkeit der Restrukturierungssache. Ist eine Planüberwachung angeordnet, tritt an die Stelle des Endes der Rechtshängigkeit der Restrukturierungssache der Abschluss der Planüberwachung.</w:t>
      </w:r>
    </w:p>
    <w:p>
      <w:r>
        <w:rPr>
          <w:color w:val="555555"/>
          <w:sz w:val="17"/>
        </w:rPr>
        <w:t xml:space="preserve">Zitiervorschlag: § 75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