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StaRUG — Bestellung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Zum Restrukturierungsbeauftragten ist ein für den jeweiligen Einzelfall geeigneter, in Restrukturierungs- und Insolvenzsachen erfahrener Steuerberater, Wirtschaftsprüfer oder Rechtsanwalt oder eine sonstige natürliche Person mit vergleichbarer Qualifikation zu bestellen, die von den Gläubigern und dem Schuldner unabhängig ist und die aus dem Kreis aller zur Übernahme des Amtes bereiten Personen auszuwählen ist.</w:t>
      </w:r>
    </w:p>
    <w:p>
      <w:r>
        <w:t xml:space="preserve">(2) Das Restrukturierungsgericht berücksichtigt bei der Auswahl eines Restrukturierungsbeauftragten nach § 73 Absatz 1 und 2 Vorschläge des Schuldners, der Gläubiger und der an dem Schuldner beteiligten Personen. Hat der Schuldner die Bescheinigung eines in Restrukturierungs- und Insolvenzsachen erfahrenen Steuerberaters, Wirtschaftsprüfers, Rechtsanwalts oder einer Person mit vergleichbarer Qualifikation vorgelegt, aus der sich ergibt, dass der Schuldner die Voraussetzungen des § 51 Absatz 1 und 2 erfüllt, kann das Gericht vom Vorschlag des Schuldners nur dann abweichen, wenn die vorgeschlagene Person offensichtlich ungeeignet ist; dies ist zu begründen. Wenn Planbetroffene, auf welche in jeder der nach § 9 gebildeten oder zu bildenden Gruppen von Inhabern von Restrukturierungsforderungen und Absonderungsanwartschaften mehr als 25 Prozent des Stimmrechts entfallen oder voraussichtlich entfallen werden, einen gemeinschaftlichen Vorschlag unterbreiten und wenn keine Bindung des Gerichts nach Satz 2 besteht, kann das Gericht vom gemeinsamen Vorschlag der Planbetroffenen nur dann abweichen, wenn die vorgeschlagene Person offensichtlich ungeeignet ist; dies ist zu begründen.</w:t>
      </w:r>
    </w:p>
    <w:p>
      <w:r>
        <w:t xml:space="preserve">(3) Folgt das Restrukturierungsgericht einem Vorschlag des Schuldners nach Absatz 2 Satz 2 oder der Planbetroffenen nach Absatz 2 Satz 3, kann es einen weiteren Restrukturierungsbeauftragten bestellen und diesem dessen Aufgaben übertragen; dies gilt nicht für die Aufgaben nach § 76 Absatz 2 Nummer 1 Halbsatz 1 und 2.</w:t>
      </w:r>
    </w:p>
    <w:p>
      <w:r>
        <w:rPr>
          <w:color w:val="555555"/>
          <w:sz w:val="17"/>
        </w:rPr>
        <w:t xml:space="preserve">Zitiervorschlag: § 74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