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StaRUG — Bestellung von Amts wegen</w:t>
      </w:r>
    </w:p>
    <w:p>
      <w:r>
        <w:rPr>
          <w:color w:val="555555"/>
          <w:sz w:val="18"/>
        </w:rPr>
        <w:t xml:space="preserve">Unternehmensstabilisierungs- und -restrukturierungsgesetz</w:t>
      </w:r>
    </w:p>
    <w:p>
      <w:r>
        <w:rPr>
          <w:color w:val="555555"/>
          <w:sz w:val="18"/>
        </w:rPr>
        <w:t xml:space="preserve">Stand: 27.07.2022 (konsolidierte Textfassung, kein amtliches Inkrafttretensdatum)</w:t>
      </w:r>
    </w:p>
    <w:p>
      <w:r>
        <w:t xml:space="preserve">(1) Das Restrukturierungsgericht bestellt einen Restrukturierungsbeauftragten, wenn</w:t>
      </w:r>
    </w:p>
    <w:p>
      <w:pPr>
        <w:ind w:left="420"/>
      </w:pPr>
      <w:r>
        <w:t xml:space="preserve">1. im Rahmen der Restrukturierung die Rechte von Verbrauchern oder mittleren, kleinen oder Kleinstunternehmen berührt werden sollen, weil deren Forderungen oder Absonderungsanwartschaften durch den Restrukturierungsplan gestaltet werden sollen oder die Durchsetzung solcher Forderungen oder Absonderungsanwartschaften durch eine Stabilisierungsanordnung gesperrt werden soll,</w:t>
      </w:r>
    </w:p>
    <w:p>
      <w:pPr>
        <w:ind w:left="420"/>
      </w:pPr>
      <w:r>
        <w:t xml:space="preserve">2. der Schuldner eine Stabilisierungsanordnung beantragt, welche sich mit Ausnahme der nach § 4 ausgenommenen Forderungen gegen alle oder im Wesentlichen alle Gläubiger richten soll,</w:t>
      </w:r>
    </w:p>
    <w:p>
      <w:pPr>
        <w:ind w:left="420"/>
      </w:pPr>
      <w:r>
        <w:t xml:space="preserve">3. der Restrukturierungsplan eine Überwachung der Erfüllung der den Gläubigern zustehenden Ansprüche vorsieht (§ 72).</w:t>
      </w:r>
    </w:p>
    <w:p>
      <w:r>
        <w:t xml:space="preserve">Das Gericht kann im Einzelfall von einer Bestellung absehen, wenn die Bestellung zur Wahrung der Rechte der Beteiligten nicht erforderlich oder offensichtlich unverhältnismäßig ist.</w:t>
      </w:r>
    </w:p>
    <w:p>
      <w:r>
        <w:t xml:space="preserve">(2) Eine Bestellung erfolgt auch, wenn absehbar ist, dass das Restrukturierungsziel nur gegen den Willen von Inhabern von Restrukturierungsforderungen oder Absonderungsanwartschaften erreichbar ist, ohne deren Zustimmung zum Restrukturierungsplan eine Planbestätigung allein unter den Voraussetzungen des § 26 möglich ist. Dies gilt nicht, wenn an der Restrukturierung allein Unternehmen des Finanzsektors als Planbetroffene beteiligt sind. Den Unternehmen des Finanzsektors stehen Planbetroffene gleich, die als Rechtsnachfolger in die von Unternehmen des Finanzsektors begründeten Forderungen eingetreten sind oder die mit Forderungen aus geld- oder kapitalmarktgehandelten Instrumenten betroffen werden. Den geld- und kapitalmarktgehandelten Instrumenten stehen nicht verbriefte Instrumente gleich, die zu gleichlautenden Bedingungen ausgegeben wurden.</w:t>
      </w:r>
    </w:p>
    <w:p>
      <w:r>
        <w:t xml:space="preserve">(3) Das Gericht kann einen Restrukturierungsbeauftragten bestellen, um Prüfungen als Sachverständiger vorzunehmen, insbesondere</w:t>
      </w:r>
    </w:p>
    <w:p>
      <w:pPr>
        <w:ind w:left="420"/>
      </w:pPr>
      <w:r>
        <w:t xml:space="preserve">1. zu den Bestätigungsvoraussetzungen nach § 63 Absatz 1 Nummer 1, Absatz 3 und § 64 Absatz 1 oder</w:t>
      </w:r>
    </w:p>
    <w:p>
      <w:pPr>
        <w:ind w:left="420"/>
      </w:pPr>
      <w:r>
        <w:t xml:space="preserve">2. zur Angemessenheit der Entschädigung bei einem Eingriff in gruppeninterne Drittsicherheiten oder einer Beschränkung der Haftung von unbeschränkt haftenden Gesellschaftern.</w:t>
      </w:r>
    </w:p>
    <w:p>
      <w:r>
        <w:rPr>
          <w:color w:val="555555"/>
          <w:sz w:val="17"/>
        </w:rPr>
        <w:t xml:space="preserve">Zitiervorschlag: § 73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