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StaRUG — Sonstige Wirkungen des Restrukturierungsplans</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Wenn Rechte an Gegenständen begründet, geändert, übertragen oder aufgehoben oder Geschäftsanteile an einer Gesellschaft mit beschränkter Haftung abgetreten werden sollen, gelten die in den Restrukturierungsplan aufgenommenen Willenserklärungen der Planbetroffenen und des Schuldners als in der vorgeschriebenen Form abgegeben.</w:t>
      </w:r>
    </w:p>
    <w:p>
      <w:r>
        <w:t xml:space="preserve">(2) Die in den Restrukturierungsplan aufgenommenen Beschlüsse und sonstigen Willenserklärungen der Planbetroffenen und des Schuldners gelten als in der vorgeschriebenen Form abgegeben. Gesellschaftsrechtlich erforderliche Ladungen, Bekanntmachungen und sonstige Maßnahmen zur Vorbereitung von Beschlüssen der Planbetroffenen gelten als in der vorgeschriebenen Form bewirkt.</w:t>
      </w:r>
    </w:p>
    <w:p>
      <w:r>
        <w:t xml:space="preserve">(3) Entsprechendes gilt für die in den Restrukturierungsplan aufgenommenen Verpflichtungserklärungen, die einer Maßnahme nach Absatz 1 oder Absatz 2 zugrunde liegen.</w:t>
      </w:r>
    </w:p>
    <w:p>
      <w:r>
        <w:rPr>
          <w:color w:val="555555"/>
          <w:sz w:val="17"/>
        </w:rPr>
        <w:t xml:space="preserve">Zitiervorschlag: § 68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