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StaRUG — Aufhebung und Beendigung der Stabilisierungsanordnung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Das Restrukturierungsgericht hebt die Stabilisierungsanordnung auf, wenn</w:t>
      </w:r>
    </w:p>
    <w:p>
      <w:pPr>
        <w:ind w:left="420"/>
      </w:pPr>
      <w:r>
        <w:t xml:space="preserve">1. der Schuldner dies beantragt,</w:t>
      </w:r>
    </w:p>
    <w:p>
      <w:pPr>
        <w:ind w:left="420"/>
      </w:pPr>
      <w:r>
        <w:t xml:space="preserve">2. die Anzeige nach § 31 Absatz 4 ihre Wirkungen verloren hat oder wenn die Voraussetzungen einer Aufhebung der Restrukturierungssache nach § 31 Absatz 4 Nummer 3, § 33 vorliegen,</w:t>
      </w:r>
    </w:p>
    <w:p>
      <w:pPr>
        <w:ind w:left="420"/>
      </w:pPr>
      <w:r>
        <w:t xml:space="preserve">3. der Schuldner es versäumt, dem Gericht nach Ablauf einer zu diesem Zweck eingeräumten angemessenen Frist den Entwurf eines Restrukturierungsplans zu übermitteln oder</w:t>
      </w:r>
    </w:p>
    <w:p>
      <w:pPr>
        <w:ind w:left="420"/>
      </w:pPr>
      <w:r>
        <w:t xml:space="preserve">4. Umstände bekannt sind, aus denen sich ergibt, dass der Schuldner nicht bereit und in der Lage ist, seine Geschäftsführung an den Interessen der Gläubigergesamtheit auszurichten, insbesondere weil</w:t>
      </w:r>
    </w:p>
    <w:p>
      <w:pPr>
        <w:ind w:left="780"/>
      </w:pPr>
      <w:r>
        <w:t xml:space="preserve">a) die Restrukturierungsplanung in wesentlichen Punkten auf unzutreffenden Tatsachen beruht oder</w:t>
      </w:r>
    </w:p>
    <w:p>
      <w:pPr>
        <w:ind w:left="780"/>
      </w:pPr>
      <w:r>
        <w:t xml:space="preserve">b) die Rechnungslegung und Buchführung des Schuldners so unvollständig oder mangelhaft sind, dass sie eine Beurteilung der Restrukturierungsplanung, insbesondere des Finanzplans, nicht ermöglichen.</w:t>
      </w:r>
    </w:p>
    <w:p>
      <w:r>
        <w:t xml:space="preserve">(2) Die Stabilisierungsanordnung wird wegen der in Absatz 1 Nummer 2 und 4 genannten Gründe auch auf Antrag eines von der Anordnung betroffenen Gläubigers aufgehoben, wenn dieser das Vorliegen des Beendigungsgrunds glaubhaft macht.</w:t>
      </w:r>
    </w:p>
    <w:p>
      <w:r>
        <w:t xml:space="preserve">(3) Das Restrukturierungsgericht kann von einer Aufhebung absehen, wenn die Fortdauer der Stabilisierungsanordnung geboten erscheint, um im Interesse der Gesamtheit der Gläubiger einen geordneten Übergang in ein Insolvenzverfahren zu gewährleisten. Das Gericht setzt dem Schuldner eine Frist von höchstens drei Wochen, innerhalb derer er dem Gericht die Beantragung eines Insolvenzverfahrens nachzuweisen hat. Nach Ablauf dieser Frist ist die Stabilisierungsanordnung aufzuheben.</w:t>
      </w:r>
    </w:p>
    <w:p>
      <w:r>
        <w:t xml:space="preserve">(4) Die Stabilisierungsanordnung endet, wenn der Restrukturierungsplan bestätigt ist oder die Planbestätigung versagt wird.</w:t>
      </w:r>
    </w:p>
    <w:p>
      <w:r>
        <w:rPr>
          <w:color w:val="555555"/>
          <w:sz w:val="17"/>
        </w:rPr>
        <w:t xml:space="preserve">Zitiervorschlag: § 59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