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StaRUG — Finanzsicherheiten, Zahlungs- und Abwicklungssysteme, Liquidationsnetting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Die Stabilisierungsanordnung berührt nicht die Wirksamkeit von Verfügungen über Finanzsicherheiten nach § 1 Absatz 17 des Kreditwesengesetzes und die Wirksamkeit der Verrechnung von Ansprüchen und Leistungen aus Zahlungsaufträgen, Aufträgen zwischen Zahlungsdienstleistern oder zwischengeschalteten Stellen oder Aufträgen zur Übertragung von Wertpapieren, die in Systeme nach § 1 Absatz 16 des Kreditwesengesetzes eingebracht wurden. Dies gilt auch dann, wenn ein solches Rechtsgeschäft des Schuldners am Tag der Anordnung getätigt und verrechnet oder eine Finanzsicherheit bestellt wird und der andere Teil nachweist, dass er die Anordnung weder kannte noch hätte kennen müssen; ist der andere Teil ein Systembetreiber oder Teilnehmer in dem System, bestimmt sich der Tag der Anordnung nach dem Geschäftstag im Sinne des § 1 Absatz 16b des Kreditwesengesetzes.</w:t>
      </w:r>
    </w:p>
    <w:p>
      <w:r>
        <w:t xml:space="preserve">(2) Von der Stabilisierungsanordnung und ihren Wirkungen bleiben Geschäfte, die den Gegenstand einer Vereinbarung über das Liquidationsnetting im Sinne von § 104 Absatz 3 und 4 der Insolvenzordnung bilden können, sowie Vereinbarungen über das Liquidationsnetting unberührt. Die aus dem Liquidationsnetting resultierende Forderung kann einer Vollstreckungssperre und, im Rahmen des nach Absatz 1 Zulässigen, auch einer Verwertungssperre unterworfen werden.</w:t>
      </w:r>
    </w:p>
    <w:p>
      <w:r>
        <w:rPr>
          <w:color w:val="555555"/>
          <w:sz w:val="17"/>
        </w:rPr>
        <w:t xml:space="preserve">Zitiervorschlag: § 56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