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StaRUG — Vertragsrechtliche Wirkungen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Ist der Schuldner zum Zeitpunkt der Stabilisierunganordnung einem Gläubiger etwas aus einem Vertrag schuldig, so kann der Gläubiger nicht allein wegen der rückständigen Leistung eine ihm im Anordnungszeitraum obliegende Leistung verweigern oder Vertragsbeendigungs- oder -abänderungsrechte geltend machen; unberührt bleibt das Recht des Gläubigers, die Erbringung des Teils der ihm obliegenden Gegenleistung zu verweigern, der auf die rückständige Leistung des Schuldners entfällt. Ergehen Folge- oder Neuanordnungen, ist der Zeitpunkt der Erstanordnung maßgeblich.</w:t>
      </w:r>
    </w:p>
    <w:p>
      <w:r>
        <w:t xml:space="preserve">(2) Absatz 1 gilt nicht, wenn der Schuldner für die Fortführung des Unternehmens nicht auf die dem Gläubiger obliegende Leistung angewiesen ist.</w:t>
      </w:r>
    </w:p>
    <w:p>
      <w:r>
        <w:t xml:space="preserve">(3) Ist der Gläubiger vorleistungspflichtig, hat er das Recht, die ihm obliegende Leistung gegen Sicherheitsleistung oder Zug um Zug gegen die dem Schuldner obliegende Leistung zu erbringen. Absatz 1 berührt nicht das Recht von Darlehensgebern, den Darlehensvertrag vor der Auszahlung des Darlehens wegen einer Verschlechterung der Vermögensverhältnisse des Schuldners oder der Werthaltigkeit der für das Darlehen gestellten Sicherheit zu kündigen (§ 490 Absatz 1 des Bürgerlichen Gesetzbuchs). Satz 2 gilt auch für andere Kreditzusagen.</w:t>
      </w:r>
    </w:p>
    <w:p>
      <w:r>
        <w:rPr>
          <w:color w:val="555555"/>
          <w:sz w:val="17"/>
        </w:rPr>
        <w:t xml:space="preserve">Zitiervorschlag: § 55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