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StaRUG — Folgen der Verwertungssperre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Ist eine Verwertungssperre ergangen, sind dem Gläubiger die geschuldeten Zinsen zu zahlen und der durch die Nutzung eintretende Wertverlust ist durch laufende Zahlungen an den Gläubiger auszugleichen. Dies gilt nicht, soweit nach der Höhe der Forderung und der sonstigen Belastung des Gegenstands mit einer Befriedigung des Gläubigers aus dem Verwertungserlös nicht zu rechnen ist.</w:t>
      </w:r>
    </w:p>
    <w:p>
      <w:r>
        <w:t xml:space="preserve">(2) Zieht der Schuldner nach Maßgabe der vertraglichen Vereinbarungen mit dem Berechtigten Forderungen ein, die zur Sicherung eines Anspruchs abgetreten sind, oder veräußert oder verarbeitet er bewegliche Sachen, an denen Rechte bestehen, die im Fall der Eröffnung eines Insolvenzverfahrens als Aus- oder Absonderungsrechte geltend gemacht werden könnten, sind die dabei erzielten Erlöse an den Berechtigten auszukehren oder unterscheidbar zu verwahren, es sei denn, der Schuldner trifft mit dem Berechtigten eine anderweitige Vereinbarung.</w:t>
      </w:r>
    </w:p>
    <w:p>
      <w:r>
        <w:rPr>
          <w:color w:val="555555"/>
          <w:sz w:val="17"/>
        </w:rPr>
        <w:t xml:space="preserve">Zitiervorschlag: § 54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