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StaRUG — Anordnungsdauer</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Die Stabilisierungsanordnung kann für eine Dauer von bis zu drei Monaten ergehen.</w:t>
      </w:r>
    </w:p>
    <w:p>
      <w:r>
        <w:t xml:space="preserve">(2) Folge- oder Neuanordnungen können nur im Rahmen der Anordnungshöchstdauer nach Absatz 1 ergehen, es sei denn,</w:t>
      </w:r>
    </w:p>
    <w:p>
      <w:pPr>
        <w:ind w:left="420"/>
      </w:pPr>
      <w:r>
        <w:t xml:space="preserve">1. der Schuldner hat den Gläubigern ein Planangebot unterbreitet und</w:t>
      </w:r>
    </w:p>
    <w:p>
      <w:pPr>
        <w:ind w:left="420"/>
      </w:pPr>
      <w:r>
        <w:t xml:space="preserve">2. es sind keine Umstände bekannt, aus denen sich ergibt, dass mit einer Planannahme innerhalb eines Monats nicht zu rechnen ist.</w:t>
      </w:r>
    </w:p>
    <w:p>
      <w:r>
        <w:t xml:space="preserve">In diesem Fall verlängert sich die Anordnungshöchstdauer um einen Monat und die Anordnung richtet sich ausschließlich gegen Planbetroffene.</w:t>
      </w:r>
    </w:p>
    <w:p>
      <w:r>
        <w:t xml:space="preserve">(3) Hat der Schuldner die gerichtliche Bestätigung des von den Planbetroffenen angenommenen Restrukturierungsplans beantragt, können Folge- oder Neuanordnungen bis zur Rechtskraft der Planbestätigung, höchstens aber bis zum Ablauf von acht Monaten nach dem Erlass der Erstanordnung ergehen. Dies gilt nicht, wenn der Restrukturierungsplan offensichtlich nicht bestätigungsfähig ist.</w:t>
      </w:r>
    </w:p>
    <w:p>
      <w:r>
        <w:t xml:space="preserve">(4) Absatz 3 ist nicht anzuwenden, wenn der Mittelpunkt der hauptsächlichen Interessen des Schuldners innerhalb eines Zeitraums von drei Monaten vor der ersten Inanspruchnahme von Instrumenten des Stabilisierungs- und Restrukturierungsrahmens aus einem anderen Mitgliedstaat der Europäischen Union in das Inland verlegt wurde und keine öffentlichen Bekanntmachungen nach den §§ 84 bis 86 erfolgen.</w:t>
      </w:r>
    </w:p>
    <w:p>
      <w:r>
        <w:rPr>
          <w:color w:val="555555"/>
          <w:sz w:val="17"/>
        </w:rPr>
        <w:t xml:space="preserve">Zitiervorschlag: § 53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