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52 StaRUG — Folgeanordnung, Neuanordnung</w:t>
      </w:r>
    </w:p>
    <w:p>
      <w:r>
        <w:rPr>
          <w:color w:val="555555"/>
          <w:sz w:val="18"/>
        </w:rPr>
        <w:t xml:space="preserve">Unternehmensstabilisierungs- und -restrukturierungsgesetz</w:t>
      </w:r>
    </w:p>
    <w:p>
      <w:r>
        <w:rPr>
          <w:color w:val="555555"/>
          <w:sz w:val="18"/>
        </w:rPr>
        <w:t xml:space="preserve">Stand: 01.01.2021 (konsolidierte Textfassung, kein amtliches Inkrafttretensdatum)</w:t>
      </w:r>
    </w:p>
    <w:p>
      <w:r>
        <w:t xml:space="preserve">Unter den Voraussetzungen des § 51 Absatz 1 und 2 kann eine Stabilisierungsanordnung auf weitere Gläubiger erstreckt, inhaltlich erweitert oder zeitlich verlängert werden (Folgeanordnung) oder, sofern die Anordnungsdauer bereits überschritten ist, erneuert werden (Neuanordnung).</w:t>
      </w:r>
    </w:p>
    <w:p>
      <w:r>
        <w:rPr>
          <w:color w:val="555555"/>
          <w:sz w:val="17"/>
        </w:rPr>
        <w:t xml:space="preserve">Zitiervorschlag: § 52 StaRUG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https://recht.nulegal.eu/gesetze/StaRUG/52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