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StaRUG — Voraussetzungen der Stabilisierungsanordnung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Die Stabilisierungsanordnung ergeht, wenn die von dem Schuldner vorgelegte Restrukturierungsplanung vollständig und schlüssig ist und keine Umstände bekannt sind, aus denen sich ergibt, dass</w:t>
      </w:r>
    </w:p>
    <w:p>
      <w:pPr>
        <w:ind w:left="420"/>
      </w:pPr>
      <w:r>
        <w:t xml:space="preserve">1. die Restrukturierungsplanung oder die Erklärungen zu § 50 Absatz 3 in wesentlichen Punkten auf unzutreffenden Tatsachen beruht oder beruhen,</w:t>
      </w:r>
    </w:p>
    <w:p>
      <w:pPr>
        <w:ind w:left="420"/>
      </w:pPr>
      <w:r>
        <w:t xml:space="preserve">2. die Restrukturierung aussichtslos ist, weil keine Aussicht darauf besteht, dass ein das Restrukturierungskonzept umsetzender Plan von den Planbetroffenen angenommen oder vom Gericht bestätigt werden würde,</w:t>
      </w:r>
    </w:p>
    <w:p>
      <w:pPr>
        <w:ind w:left="420"/>
      </w:pPr>
      <w:r>
        <w:t xml:space="preserve">3. der Schuldner noch nicht drohend zahlungsunfähig ist oder</w:t>
      </w:r>
    </w:p>
    <w:p>
      <w:pPr>
        <w:ind w:left="420"/>
      </w:pPr>
      <w:r>
        <w:t xml:space="preserve">4. die beantragte Anordnung nicht erforderlich ist, um das Restrukturierungsziel zu verwirklichen.</w:t>
      </w:r>
    </w:p>
    <w:p>
      <w:r>
        <w:t xml:space="preserve">Schlüssig ist die Planung, wenn nicht offensichtlich ist, dass sich das Restrukturierungsziel nicht auf Grundlage der in Aussicht genommenen Maßnahmen erreichen lässt. Weist die Restrukturierungsplanung behebbare Mängel auf, erlässt das Gericht die Anordnung für einen Zeitraum von höchstens 20 Tagen und gibt dem Schuldner auf, die Mängel innerhalb dieses Zeitraums zu beheben.</w:t>
      </w:r>
    </w:p>
    <w:p>
      <w:r>
        <w:t xml:space="preserve">(2) Sind Umstände bekannt, aus denen sich ergibt, dass</w:t>
      </w:r>
    </w:p>
    <w:p>
      <w:pPr>
        <w:ind w:left="420"/>
      </w:pPr>
      <w:r>
        <w:t xml:space="preserve">1. erhebliche Zahlungsrückstände gegenüber den in § 50 Absatz 3 Nummer 1 genannten Gläubigern bestehen oder</w:t>
      </w:r>
    </w:p>
    <w:p>
      <w:pPr>
        <w:ind w:left="420"/>
      </w:pPr>
      <w:r>
        <w:t xml:space="preserve">2. der Schuldner für mindestens eines der letzten drei abgeschlossenen Geschäftsjahre gegen die Offenlegungspflichten nach den §§ 325 bis 328 oder nach § 339 des Handelsgesetzbuchs verstoßen hat,</w:t>
      </w:r>
    </w:p>
    <w:p>
      <w:r>
        <w:t xml:space="preserve">erfolgt die Stabilisierungsanordnung nur, wenn trotz dieser Umstände zu erwarten ist, dass der Schuldner bereit und in der Lage ist, seine Geschäftsführung an den Interessen der Gläubigergesamtheit auszurichten. Dies gilt auch, wenn zugunsten des Schuldners in den letzten drei Jahren vor der Stellung des Antrags die in § 49 Absatz 1 genannten Vollstreckungs- oder Verwertungssperren oder vorläufige Sicherungsanordnungen nach § 21 Absatz 1 Satz 2 Nummer 3 oder 5 der Insolvenzordnung angeordnet wurden, sofern nicht der Anlass dieser Anordnungen durch eine nachhaltige Sanierung des Schuldners bewältigt wurde.</w:t>
      </w:r>
    </w:p>
    <w:p>
      <w:r>
        <w:t xml:space="preserve">(3) Liegt zum Zeitpunkt der Stabilisierungsanordnung kein Restrukturierungsplan vor, kann das Gericht dem Schuldner eine Frist setzen, binnen derer der Restrukturierungsplan vorzulegen ist.</w:t>
      </w:r>
    </w:p>
    <w:p>
      <w:r>
        <w:t xml:space="preserve">(4) Die Stabilisierungsanordnung ist allen Gläubigern, die von ihr betroffen sind, zuzustellen. In öffentlichen Restrukturierungssachen (§ 84) kann auf eine Zustellung verzichtet werden, wenn sich die Anordnung mit Ausnahme der in § 4 genannten Gläubiger gegen alle Gläubiger richtet.</w:t>
      </w:r>
    </w:p>
    <w:p>
      <w:r>
        <w:t xml:space="preserve">(5) Das Restrukturierungsgericht entscheidet über den Antrag auf Erlass der Stabilisierungsanordnung durch Beschluss. Soweit das Gericht den Antrag zurückweist, steht dem Schuldner gegen den Beschluss die sofortige Beschwerde zu.</w:t>
      </w:r>
    </w:p>
    <w:p>
      <w:r>
        <w:rPr>
          <w:color w:val="555555"/>
          <w:sz w:val="17"/>
        </w:rPr>
        <w:t xml:space="preserve">Zitiervorschlag: § 51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