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StaRUG — Antrag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Schuldner hat die beantragte Stabilisierungsanordnung nach § 49 Absatz 1 ihrem Inhalt, dem Adressatenkreis und der Dauer nach zu bezeichnen.</w:t>
      </w:r>
    </w:p>
    <w:p>
      <w:r>
        <w:t xml:space="preserve">(2) Der Schuldner fügt dem Antrag eine Restrukturierungsplanung bei, welche umfasst:</w:t>
      </w:r>
    </w:p>
    <w:p>
      <w:pPr>
        <w:ind w:left="420"/>
      </w:pPr>
      <w:r>
        <w:t xml:space="preserve">1. einen auf den Tag der Antragstellung aktualisierten Entwurf des Restrukturierungsplans oder ein auf diesen Tag aktualisiertes Konzept für die Restrukturierung nach § 31 Absatz 2 Satz 1 Nummer 1,</w:t>
      </w:r>
    </w:p>
    <w:p>
      <w:pPr>
        <w:ind w:left="420"/>
      </w:pPr>
      <w:r>
        <w:t xml:space="preserve">2. einen Finanzplan, der den Zeitraum von sechs Monaten umfasst und eine fundierte Darstellung der Finanzierungsquellen enthält, durch welche die Fortführung des Unternehmens in diesem Zeitraum sichergestellt werden soll; dabei bleiben Finanzierungsquellen außer Betracht, die sich mit dem Restrukturierungsziel nicht vereinbaren lassen.</w:t>
      </w:r>
    </w:p>
    <w:p>
      <w:r>
        <w:t xml:space="preserve">(3) Des Weiteren hat der Schuldner zu erklären,</w:t>
      </w:r>
    </w:p>
    <w:p>
      <w:pPr>
        <w:ind w:left="420"/>
      </w:pPr>
      <w:r>
        <w:t xml:space="preserve">1. ob, in welchem Umfang und gegenüber welchen Gläubigern er sich mit der Erfüllung von Verbindlichkeiten aus Arbeitsverhältnissen, Pensionszusagen oder dem Steuerschuldverhältnis, gegenüber den Sozialversicherungsträgern oder Lieferanten in Verzug befindet,</w:t>
      </w:r>
    </w:p>
    <w:p>
      <w:pPr>
        <w:ind w:left="420"/>
      </w:pPr>
      <w:r>
        <w:t xml:space="preserve">2. ob und in welchen Verfahren zu seinen Gunsten innerhalb der letzten drei Jahre vor dem Antrag Vollstreckungs- oder Verwertungssperren nach diesem Gesetz oder nach § 21 Absatz 2 Satz 1 Nummer 3 oder 5 der Insolvenzordnung angeordnet wurden und</w:t>
      </w:r>
    </w:p>
    <w:p>
      <w:pPr>
        <w:ind w:left="420"/>
      </w:pPr>
      <w:r>
        <w:t xml:space="preserve">3. ob er für die letzten drei abgeschlossenen Geschäftsjahre seinen Verpflichtungen aus den §§ 325 bis 328 oder aus § 339 des Handelsgesetzbuchs nachgekommen ist.</w:t>
      </w:r>
    </w:p>
    <w:p>
      <w:r>
        <w:rPr>
          <w:color w:val="555555"/>
          <w:sz w:val="17"/>
        </w:rPr>
        <w:t xml:space="preserve">Zitiervorschlag: § 50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