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StaRUG — Vorprüfungstermin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Auf Antrag des Schuldners bestimmt das Gericht einen gesonderten Termin zur Vorprüfung des Restrukturierungsplans vor dem Erörterungs- und Abstimmungstermin. Gegenstand dieser Vorprüfung kann jede Frage sein, die für die Bestätigung des Restrukturierungsplans erheblich ist, insbesondere,</w:t>
      </w:r>
    </w:p>
    <w:p>
      <w:pPr>
        <w:ind w:left="420"/>
      </w:pPr>
      <w:r>
        <w:t xml:space="preserve">1. ob die Auswahl der Planbetroffenen und die Einteilung der Planbetroffenen in Gruppen den Anforderungen der §§ 8 und 9 entspricht,</w:t>
      </w:r>
    </w:p>
    <w:p>
      <w:pPr>
        <w:ind w:left="420"/>
      </w:pPr>
      <w:r>
        <w:t xml:space="preserve">2. welches Stimmrecht eine Restrukturierungsforderung, eine Absonderungsanwartschaft oder ein Anteils- oder Mitgliedschaftsrecht gewährt oder</w:t>
      </w:r>
    </w:p>
    <w:p>
      <w:pPr>
        <w:ind w:left="420"/>
      </w:pPr>
      <w:r>
        <w:t xml:space="preserve">3. ob dem Schuldner die Zahlungsunfähigkeit droht.</w:t>
      </w:r>
    </w:p>
    <w:p>
      <w:r>
        <w:t xml:space="preserve">§ 45 Absatz 3 gilt entsprechend. Die Ladungsfrist beträgt mindestens sieben Tage.</w:t>
      </w:r>
    </w:p>
    <w:p>
      <w:r>
        <w:t xml:space="preserve">(2) Das Ergebnis der Vorprüfung fasst das Gericht in einem Hinweis zusammen.</w:t>
      </w:r>
    </w:p>
    <w:p>
      <w:r>
        <w:t xml:space="preserve">(3) Das Gericht kann einen Vorprüfungstermin auch von Amts wegen bestimmen, wenn dies zweckmäßig ist.</w:t>
      </w:r>
    </w:p>
    <w:p>
      <w:r>
        <w:rPr>
          <w:color w:val="555555"/>
          <w:sz w:val="17"/>
        </w:rPr>
        <w:t xml:space="preserve">Zitiervorschlag: § 46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