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StaRUG — Erörterungs- und Abstimmungstermin</w:t>
      </w:r>
    </w:p>
    <w:p>
      <w:r>
        <w:rPr>
          <w:color w:val="555555"/>
          <w:sz w:val="18"/>
        </w:rPr>
        <w:t xml:space="preserve">Unternehmensstabilisierungs- und -restrukturierungsgesetz</w:t>
      </w:r>
    </w:p>
    <w:p>
      <w:r>
        <w:rPr>
          <w:color w:val="555555"/>
          <w:sz w:val="18"/>
        </w:rPr>
        <w:t xml:space="preserve">Stand: 17.07.2024 (konsolidierte Textfassung, kein amtliches Inkrafttretensdatum)</w:t>
      </w:r>
    </w:p>
    <w:p>
      <w:r>
        <w:t xml:space="preserve">(1) Auf Antrag des Schuldners bestimmt das Restrukturierungsgericht einen Termin, in dem der Restrukturierungsplan und das Stimmrecht der Planbetroffenen erörtert werden und anschließend über den Plan abgestimmt wird. Die Ladungsfrist beträgt mindestens 14 Tage.</w:t>
      </w:r>
    </w:p>
    <w:p>
      <w:r>
        <w:t xml:space="preserve">(2) Dem Antrag ist der vollständige Restrukturierungsplan nebst Anlagen beizufügen. Soll auf die Zustellung des vollständigen Restrukturierungsplans und der Anlagen verzichtet werden, hat der Antrag Angaben dazu zu enthalten, wie der elektronische Zugang zu diesen Dokumenten sichergestellt wird; insbesondere sind die den Betroffenen bereitzustellenden Zugangsdaten mitzuteilen.</w:t>
      </w:r>
    </w:p>
    <w:p>
      <w:r>
        <w:t xml:space="preserve">(3) Die Planbetroffenen sind zu dem Termin zu laden. Der Ladung ist der vollständige Restrukturierungsplan nebst Anlagen beizufügen. Die Ladung enthält den Hinweis darauf, dass der Termin und die Abstimmung auch dann durchgeführt werden können, wenn nicht alle Planbetroffenen teilnehmen. Das Gericht kann den Schuldner mit der Zustellung der Ladungen beauftragen.</w:t>
      </w:r>
    </w:p>
    <w:p>
      <w:r>
        <w:t xml:space="preserve">(3a) Auf die Beifügung des vollständigen Restrukturierungsplans nebst Anlagen gemäß Absatz 3 Satz 2 kann verzichtet werden, wenn der Schuldner den elektronischen Zugriff auf diese Dokumente gewährleistet und der Geladene anhand der in der Ladung enthaltenen Zugangsdaten auf die Dokumente zugreifen kann. Liegt ein wichtiger Grund vor, kann der Geladene die Übermittlung der schriftlichen Dokumente verlangen.</w:t>
      </w:r>
    </w:p>
    <w:p>
      <w:r>
        <w:t xml:space="preserve">(4) Auf das Verfahren finden die §§ 239 bis 242 der Insolvenzordnung sowie die §§ 24 bis 28 dieses Gesetzes entsprechende Anwendung. Ist streitig, welches Stimmrecht die Forderung, die Absonderungsanwartschaft, die gruppeninterne Drittsicherheit oder das Anteils- oder Mitgliedschaftsrecht einem Planbetroffenen gewährt und lässt sich darüber keine Einigung zwischen den Beteiligten erzielen, legt das Gericht das Stimmrecht fest.</w:t>
      </w:r>
    </w:p>
    <w:p>
      <w:r>
        <w:rPr>
          <w:color w:val="555555"/>
          <w:sz w:val="17"/>
        </w:rPr>
        <w:t xml:space="preserve">Zitiervorschlag: § 45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