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StaRUG — Verbot von Lösungsklauseln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Rechtshängigkeit der Restrukturierungssache oder die Inanspruchnahme von Instrumenten des Stabilisierungs- und Restrukturierungsrahmens durch den Schuldner ist ohne Weiteres kein Grund</w:t>
      </w:r>
    </w:p>
    <w:p>
      <w:pPr>
        <w:ind w:left="420"/>
      </w:pPr>
      <w:r>
        <w:t xml:space="preserve">1. für die Beendigung von Vertragsverhältnissen, an denen der Schuldner beteiligt ist,</w:t>
      </w:r>
    </w:p>
    <w:p>
      <w:pPr>
        <w:ind w:left="420"/>
      </w:pPr>
      <w:r>
        <w:t xml:space="preserve">2. für die Fälligstellung von Leistungen oder</w:t>
      </w:r>
    </w:p>
    <w:p>
      <w:pPr>
        <w:ind w:left="420"/>
      </w:pPr>
      <w:r>
        <w:t xml:space="preserve">3. für ein Recht des anderen Teils, die diesem obliegende Leistung zu verweigern oder die Anpassung oder anderweitige Gestaltung des Vertrags zu verlangen.</w:t>
      </w:r>
    </w:p>
    <w:p>
      <w:r>
        <w:t xml:space="preserve">Sie berühren ohne Weiteres auch nicht die Wirksamkeit des Vertrags.</w:t>
      </w:r>
    </w:p>
    <w:p>
      <w:r>
        <w:t xml:space="preserve">(2) Dem Absatz 1 entgegenstehende Vereinbarungen sind unwirksam.</w:t>
      </w:r>
    </w:p>
    <w:p>
      <w:r>
        <w:t xml:space="preserve">(3) Die Absätze 1 und 2 gelten nicht für Geschäfte nach § 104 Absatz 1 der Insolvenzordnung und Vereinbarungen über das Liquidationsnetting nach § 104 Absatz 3 und 4 der Insolvenzordnung und Finanzsicherheiten im Sinne von § 1 Absatz 17 des Kreditwesengesetzes. Dies gilt auch für Geschäfte, die im Rahmen eines Systems nach § 1 Absatz 16 des Kreditwesengesetzes der Verrechnung von Ansprüchen und Leistungen unterliegen.</w:t>
      </w:r>
    </w:p>
    <w:p>
      <w:r>
        <w:rPr>
          <w:color w:val="555555"/>
          <w:sz w:val="17"/>
        </w:rPr>
        <w:t xml:space="preserve">Zitiervorschlag: § 44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