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StaRUG — Pflichten und Haftung der Organe</w:t>
      </w:r>
    </w:p>
    <w:p>
      <w:r>
        <w:rPr>
          <w:color w:val="555555"/>
          <w:sz w:val="18"/>
        </w:rPr>
        <w:t xml:space="preserve">Unternehmensstabilisierungs- und -restrukturierungsgesetz</w:t>
      </w:r>
    </w:p>
    <w:p>
      <w:r>
        <w:rPr>
          <w:color w:val="555555"/>
          <w:sz w:val="18"/>
        </w:rPr>
        <w:t xml:space="preserve">Stand: 01.01.2024 (konsolidierte Textfassung, kein amtliches Inkrafttretensdatum)</w:t>
      </w:r>
    </w:p>
    <w:p>
      <w:r>
        <w:t xml:space="preserve">(1) Handelt es sich bei dem Schuldner um eine juristische Person oder um eine rechtsfähige Personengesellschaft im Sinne des § 15a Absatz 1 Satz 3, Absatz 2 der Insolvenzordnung, wirken dessen Geschäftsleiter darauf hin, dass der Schuldner die Restrukturierungssache mit der Sorgfalt eines ordentlichen und gewissenhaften Geschäftsleiters betreibt und die Interessen der Gesamtheit der Gläubiger wahrt. Für die Verletzung dieser Pflicht haften sie dem Schuldner in Höhe des den Gläubigern entstandenen Schadens, es sei denn sie haben die Pflichtverletzung nicht zu vertreten.</w:t>
      </w:r>
    </w:p>
    <w:p>
      <w:r>
        <w:t xml:space="preserve">(2) Ein Verzicht des Schuldners auf Ansprüche nach Absatz 1 Satz 2 oder ein Vergleich über diese Ansprüche ist unwirksam, soweit der Ersatz zur Befriedigung der Gläubiger erforderlich ist. Dies gilt nicht, wenn sich der Ersatzpflichtige zur Abwendung eines Insolvenzverfahrens über sein Vermögen mit seinen Gläubigern vergleicht, wenn die Ersatzpflicht in einem Insolvenzplan geregelt wird oder wenn für den Ersatzberechtigten ein Insolvenzverwalter handelt.</w:t>
      </w:r>
    </w:p>
    <w:p>
      <w:r>
        <w:t xml:space="preserve">(3) Ansprüche nach Absatz 1 Satz 2 verjähren in fünf Jahren. Ist der Schuldner zum Zeitpunkt der Pflichtverletzung eine börsennotierte Gesellschaft, verjähren die Ansprüche in zehn Jahren.</w:t>
      </w:r>
    </w:p>
    <w:p>
      <w:r>
        <w:rPr>
          <w:color w:val="555555"/>
          <w:sz w:val="17"/>
        </w:rPr>
        <w:t xml:space="preserve">Zitiervorschlag: § 43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