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StaRUG — Anzeige von Zahlungsunfähigkeit und Überschuldung; Strafvorschrift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Während der Rechtshängigkeit der Restrukturierungssache ruht die Antragspflicht nach § 15a Absatz 1 bis 3 der Insolvenzordnung und § 42 Absatz 2 des Bürgerlichen Gesetzbuchs. Die Antragspflichtigen sind jedoch verpflichtet, dem Restrukturierungsgericht den Eintritt einer Zahlungsunfähigkeit im Sinne des § 17 Absatz 2 der Insolvenzordnung oder einer Überschuldung im Sinne des § 19 Absatz 2 der Insolvenzordnung ohne schuldhaftes Zögern anzuzeigen.</w:t>
      </w:r>
    </w:p>
    <w:p>
      <w:r>
        <w:t xml:space="preserve">(2) Die Stellung eines den Anforderungen des § 15a der Insolvenzordnung genügenden Insolvenzantrags gilt als rechtzeitige Erfüllung der Anzeigepflicht nach Absatz 1 Satz 2.</w:t>
      </w:r>
    </w:p>
    <w:p>
      <w:r>
        <w:t xml:space="preserve">(3) Mit Freiheitsstrafe bis zu drei Jahren oder mit Geldstrafe wird bestraft, wer entgegen Absatz 1 Satz 2 den Eintritt der Zahlungsunfähigkeit oder der Überschuldung nicht oder nicht rechtzeitig anzeigt. Handelt der Täter fahrlässig, ist die Strafe Freiheitsstrafe bis zu einem Jahr oder Geldstrafe. Die Sätze 1 und 2 sind nicht anzuwenden auf Vereine und Stiftungen, für die die Pflicht nach Absatz 1 Satz 1 gilt.</w:t>
      </w:r>
    </w:p>
    <w:p>
      <w:r>
        <w:t xml:space="preserve">(4) Wenn die Anzeige der Restrukturierungssache nach § 31 Absatz 4 ihre Wirkung verliert, leben die nach Absatz 1 Satz 1 ruhenden Antragspflichten wieder auf.</w:t>
      </w:r>
    </w:p>
    <w:p>
      <w:r>
        <w:rPr>
          <w:color w:val="555555"/>
          <w:sz w:val="17"/>
        </w:rPr>
        <w:t xml:space="preserve">Zitiervorschlag: § 42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