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StaRUG — Ausgenommene Rechtsverhältnisse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Einer Gestaltung durch einen Restrukturierungsplan sind unzugänglich:</w:t>
      </w:r>
    </w:p>
    <w:p>
      <w:pPr>
        <w:ind w:left="420"/>
      </w:pPr>
      <w:r>
        <w:t xml:space="preserve">1. Forderungen von Arbeitnehmern aus oder im Zusammenhang mit dem Arbeitsverhältnis, einschließlich der Rechte aus Zusagen auf betriebliche Altersversorgung,</w:t>
      </w:r>
    </w:p>
    <w:p>
      <w:pPr>
        <w:ind w:left="420"/>
      </w:pPr>
      <w:r>
        <w:t xml:space="preserve">2. Forderungen aus vorsätzlich begangenen unerlaubten Handlungen und</w:t>
      </w:r>
    </w:p>
    <w:p>
      <w:pPr>
        <w:ind w:left="420"/>
      </w:pPr>
      <w:r>
        <w:t xml:space="preserve">3. Forderungen nach § 39 Absatz 1 Nummer 3 der Insolvenzordnung.</w:t>
      </w:r>
    </w:p>
    <w:p>
      <w:r>
        <w:t xml:space="preserve">Handelt es sich bei dem Schuldner um eine natürliche Person, gilt dies auch für Forderungen und Absonderungsanwartschaften, die mit dessen unternehmerischer Tätigkeit in keinem Zusammenhang stehen.</w:t>
      </w:r>
    </w:p>
    <w:p>
      <w:r>
        <w:rPr>
          <w:color w:val="555555"/>
          <w:sz w:val="17"/>
        </w:rPr>
        <w:t xml:space="preserve">Zitiervorschlag: § 4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