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StaRUG — Restrukturierungsgericht; Verordnungsermächtigung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Für Entscheidungen in Restrukturierungssachen ist das Amtsgericht, in dessen Bezirk ein Oberlandesgericht seinen Sitz hat, als Restrukturierungsgericht für den Bezirk des Oberlandesgerichts ausschließlich zuständig. Ist dieses Amtsgericht nicht für Regelinsolvenzsachen zuständig, so ist das Amtsgericht zuständig, das für Regelinsolvenzsachen am Sitz des Oberlandesgerichts zuständig ist.</w:t>
      </w:r>
    </w:p>
    <w:p>
      <w:r>
        <w:t xml:space="preserve">(2) Die Landesregierungen werden ermächtigt, zur sachdienlichen Förderung oder schnelleren Erledigung von Restrukturierungssachen durch Rechtsverordnung</w:t>
      </w:r>
    </w:p>
    <w:p>
      <w:pPr>
        <w:ind w:left="420"/>
      </w:pPr>
      <w:r>
        <w:t xml:space="preserve">1. innerhalb eines Bezirks die Zuständigkeit eines anderen, für Regelinsolvenzsachen zuständigen Amtsgerichts zu bestimmen oder</w:t>
      </w:r>
    </w:p>
    <w:p>
      <w:pPr>
        <w:ind w:left="420"/>
      </w:pPr>
      <w:r>
        <w:t xml:space="preserve">2. die Zuständigkeit eines Restrukturierungsgerichts innerhalb eines Landes zusätzlich auf den Bezirk eines oder mehrerer weiterer Oberlandesgerichte zu erstrecken.</w:t>
      </w:r>
    </w:p>
    <w:p>
      <w:r>
        <w:t xml:space="preserve">Die Landesregierungen können die Ermächtigung durch Rechtsverordnung auf die Landesjustizverwaltungen übertragen. Mehrere Länder können die Errichtung gemeinsamer Abteilungen eines Amtsgerichts für Restrukturierungssachen oder die Ausdehnung von Gerichtsbezirken für Restrukturierungssachen über die Landesgrenzen hinaus vereinbaren.</w:t>
      </w:r>
    </w:p>
    <w:p>
      <w:r>
        <w:rPr>
          <w:color w:val="555555"/>
          <w:sz w:val="17"/>
        </w:rPr>
        <w:t xml:space="preserve">Zitiervorschlag: § 34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