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StaRUG — Aufhebung der Restrukturierungssache</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Das Restrukturierungsgericht hebt die Restrukturierungssache von Amts wegen auf, wenn</w:t>
      </w:r>
    </w:p>
    <w:p>
      <w:pPr>
        <w:ind w:left="420"/>
      </w:pPr>
      <w:r>
        <w:t xml:space="preserve">1. der Schuldner einen Insolvenzantrag stellt oder über das Vermögen des Schuldners ein Insolvenzverfahren eröffnet ist,</w:t>
      </w:r>
    </w:p>
    <w:p>
      <w:pPr>
        <w:ind w:left="420"/>
      </w:pPr>
      <w:r>
        <w:t xml:space="preserve">2. das Restrukturierungsgericht für die Restrukturierungssache unzuständig ist und der Schuldner innerhalb einer vom Restrukturierungsgericht gesetzten Frist keinen Verweisungsantrag gestellt oder die Anzeige zurückgenommen hat oder</w:t>
      </w:r>
    </w:p>
    <w:p>
      <w:pPr>
        <w:ind w:left="420"/>
      </w:pPr>
      <w:r>
        <w:t xml:space="preserve">3. der Schuldner in schwerwiegender Weise gegen seine Pflichten zur Mitwirkung und Auskunftserteilung gegenüber dem Gericht oder einem Restrukturierungsbeauftragten verstößt.</w:t>
      </w:r>
    </w:p>
    <w:p>
      <w:r>
        <w:t xml:space="preserve">(2) Das Gericht hebt die Restrukturierungssache ferner auf, wenn</w:t>
      </w:r>
    </w:p>
    <w:p>
      <w:pPr>
        <w:ind w:left="420"/>
      </w:pPr>
      <w:r>
        <w:t xml:space="preserve">1. der Schuldner seine Zahlungsunfähigkeit oder Überschuldung nach § 32 Absatz 3 angezeigt hat oder andere Umstände bekannt sind, aus denen sich ergibt, dass der Schuldner insolvenzreif ist; von einer Aufhebung der Restrukturierungssache kann abgesehen werden, wenn die Eröffnung eines Insolvenzverfahrens mit Blick auf den erreichten Stand in der Restrukturierungssache offensichtlich nicht im Interesse der Gesamtheit der Gläubiger liegen würde; von einer Aufhebung kann auch abgesehen werden, wenn die Zahlungsunfähigkeit oder Überschuldung aus der Kündigung oder sonstigen Fälligstellung einer Forderung resultiert, die nach dem angezeigten Restrukturierungskonzept einer Gestaltung durch den Plan unterworfen werden soll, sofern die Erreichung des Restrukturierungsziels überwiegend wahrscheinlich ist,</w:t>
      </w:r>
    </w:p>
    <w:p>
      <w:pPr>
        <w:ind w:left="420"/>
      </w:pPr>
      <w:r>
        <w:t xml:space="preserve">2. sich aufgrund einer Anzeige nach § 32 Absatz 4 oder aus sonstigen Umständen ergibt, dass das angezeigte Restrukturierungsvorhaben keine Aussicht auf Umsetzung hat,</w:t>
      </w:r>
    </w:p>
    <w:p>
      <w:pPr>
        <w:ind w:left="420"/>
      </w:pPr>
      <w:r>
        <w:t xml:space="preserve">3. ihm Umstände bekannt sind, aus denen sich ergibt, dass der Schuldner in schwerwiegender Weise gegen die ihm nach § 32 obliegenden Pflichten verstoßen hat, oder</w:t>
      </w:r>
    </w:p>
    <w:p>
      <w:pPr>
        <w:ind w:left="420"/>
      </w:pPr>
      <w:r>
        <w:t xml:space="preserve">4. in einer früheren Restrukturierungssache</w:t>
      </w:r>
    </w:p>
    <w:p>
      <w:pPr>
        <w:ind w:left="780"/>
      </w:pPr>
      <w:r>
        <w:t xml:space="preserve">a) der Schuldner eine Stabilisierungsanordnung oder eine Planbestätigung erwirkt hat oder</w:t>
      </w:r>
    </w:p>
    <w:p>
      <w:pPr>
        <w:ind w:left="780"/>
      </w:pPr>
      <w:r>
        <w:t xml:space="preserve">b) eine Aufhebung nach Nummer 3 oder nach Absatz 1 Nummer 3 erfolgt ist.</w:t>
      </w:r>
    </w:p>
    <w:p>
      <w:r>
        <w:t xml:space="preserve">Satz 1 Nummer 4 ist nicht anwendbar, wenn der Anlass für die frühere Restrukturierungssache infolge einer nachhaltigen Sanierung bewältigt wurde. Sind seit dem Ende des Anordnungszeitraums oder der Entscheidung über den Antrag auf Planbestätigung in der früheren Restrukturierungssache weniger als drei Jahre vergangen, ist im Zweifel anzunehmen, dass eine nachhaltige Sanierung nicht erfolgt ist. Der Inanspruchnahme von Instrumenten des Restrukturierungsrahmens steht ein in Eigenverwaltung geführtes Insolvenzverfahren gleich.</w:t>
      </w:r>
    </w:p>
    <w:p>
      <w:r>
        <w:t xml:space="preserve">(3) Eine Aufhebung der Restrukturierungssache unterbleibt, solange das Gericht von einer Aufhebung einer Stabilisierungsanordnung gemäß § 59 Absatz 3 abgesehen hat.</w:t>
      </w:r>
    </w:p>
    <w:p>
      <w:r>
        <w:t xml:space="preserve">(4) Gegen die Aufhebung der Restrukturierungssache nach den Absätzen 1 bis 3 steht dem Schuldner die sofortige Beschwerde zu.</w:t>
      </w:r>
    </w:p>
    <w:p>
      <w:r>
        <w:rPr>
          <w:color w:val="555555"/>
          <w:sz w:val="17"/>
        </w:rPr>
        <w:t xml:space="preserve">Zitiervorschlag: § 33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