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StaRUG — Restrukturierungsfähigkeit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Instrumente des Stabilisierungs- und Restrukturierungsrahmens können vorbehaltlich des Absatzes 2 von jedem insolvenzfähigen Schuldner in Anspruch genommen werden. Für natürliche Personen gilt dies nur, soweit sie unternehmerisch tätig sind.</w:t>
      </w:r>
    </w:p>
    <w:p>
      <w:r>
        <w:t xml:space="preserve">(2) Die Bestimmungen dieses Kapitels sind auf Unternehmen der Finanzbranche im Sinne des § 1 Absatz 19 des Kreditwesengesetzes nicht anzuwenden.</w:t>
      </w:r>
    </w:p>
    <w:p>
      <w:r>
        <w:rPr>
          <w:color w:val="555555"/>
          <w:sz w:val="17"/>
        </w:rPr>
        <w:t xml:space="preserve">Zitiervorschlag: § 30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