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StaRUG — Bedingte und nicht fällige Restrukturierungsforderungen; Forderungen aus gegenseitigen Verträgen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Restrukturierungsforderungen sind auch dann gestaltbar, wenn sie bedingt oder noch nicht fällig sind.</w:t>
      </w:r>
    </w:p>
    <w:p>
      <w:r>
        <w:t xml:space="preserve">(2) Restrukturierungsforderungen aus gegenseitigen Verträgen sind nur insoweit gestaltbar, als die dem anderen Teil obliegende Leistung bereits erbracht ist.</w:t>
      </w:r>
    </w:p>
    <w:p>
      <w:r>
        <w:rPr>
          <w:color w:val="555555"/>
          <w:sz w:val="17"/>
        </w:rPr>
        <w:t xml:space="preserve">Zitiervorschlag: § 3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