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StaRUG — Instrumente des Stabilisierungs- und Restrukturierungsrahmens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Zur nachhaltigen Beseitigung einer drohenden Zahlungsunfähigkeit im Sinne des § 18 Absatz 2 der Insolvenzordnung können die in Absatz 2 genannten Verfahrenshilfen des Stabilisierungs- und Restrukturierungsrahmens (Instrumente) in Anspruch genommen werden.</w:t>
      </w:r>
    </w:p>
    <w:p>
      <w:r>
        <w:t xml:space="preserve">(2) Instrumente des Stabilisierungs- und Restrukturierungsrahmens im Sinne des Absatzes 1 sind:</w:t>
      </w:r>
    </w:p>
    <w:p>
      <w:pPr>
        <w:ind w:left="420"/>
      </w:pPr>
      <w:r>
        <w:t xml:space="preserve">1. die Durchführung eines gerichtlichen Planabstimmungsverfahrens (gerichtliche Planabstimmung),</w:t>
      </w:r>
    </w:p>
    <w:p>
      <w:pPr>
        <w:ind w:left="420"/>
      </w:pPr>
      <w:r>
        <w:t xml:space="preserve">2. die gerichtliche Vorprüfung von Fragen, die für die Bestätigung des Restrukturierungsplans erheblich sind (Vorprüfung),</w:t>
      </w:r>
    </w:p>
    <w:p>
      <w:pPr>
        <w:ind w:left="420"/>
      </w:pPr>
      <w:r>
        <w:t xml:space="preserve">3. die gerichtliche Anordnung von Regelungen zur Einschränkung von Maßnahmen der individuellen Rechtsdurchsetzung (Stabilisierung) und</w:t>
      </w:r>
    </w:p>
    <w:p>
      <w:pPr>
        <w:ind w:left="420"/>
      </w:pPr>
      <w:r>
        <w:t xml:space="preserve">4. die gerichtliche Bestätigung eines Restrukturierungsplans (Planbestätigung).</w:t>
      </w:r>
    </w:p>
    <w:p>
      <w:r>
        <w:t xml:space="preserve">(3) Soweit sich aus den Bestimmungen dieses Gesetzes nichts Abweichendes ergibt, kann der Schuldner die Instrumente des Stabilisierungs-und Restrukturierungsrahmens unabhängig voneinander in Anspruch nehmen.</w:t>
      </w:r>
    </w:p>
    <w:p>
      <w:r>
        <w:rPr>
          <w:color w:val="555555"/>
          <w:sz w:val="17"/>
        </w:rPr>
        <w:t xml:space="preserve">Zitiervorschlag: § 29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