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StaRUG — Gruppenübergreifende Mehrheitsentscheidung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Wird in einer Gruppe die nach § 25 erforderliche Mehrheit nicht erreicht, gilt die Zustimmung dieser Gruppe als erteilt, wenn</w:t>
      </w:r>
    </w:p>
    <w:p>
      <w:pPr>
        <w:ind w:left="420"/>
      </w:pPr>
      <w:r>
        <w:t xml:space="preserve">1. die Mitglieder dieser Gruppe durch den Restrukturierungsplan voraussichtlich nicht schlechter gestellt werden als sie ohne einen Plan stünden,</w:t>
      </w:r>
    </w:p>
    <w:p>
      <w:pPr>
        <w:ind w:left="420"/>
      </w:pPr>
      <w:r>
        <w:t xml:space="preserve">2. die Mitglieder dieser Gruppe angemessen an dem wirtschaftlichen Wert beteiligt werden, der auf der Grundlage des Plans den Planbetroffenen zufließen soll (Planwert), und</w:t>
      </w:r>
    </w:p>
    <w:p>
      <w:pPr>
        <w:ind w:left="420"/>
      </w:pPr>
      <w:r>
        <w:t xml:space="preserve">3. die Mehrheit der abstimmenden Gruppen dem Plan mit den erforderlichen Mehrheiten zugestimmt hat; wurden lediglich zwei Gruppen gebildet, genügt die Zustimmung der anderen Gruppe; die zustimmenden Gruppen dürfen nicht ausschließlich durch Anteilsinhaber oder nachrangige Restrukturierungsgläubiger gebildet sein.</w:t>
      </w:r>
    </w:p>
    <w:p>
      <w:r>
        <w:t xml:space="preserve">(2) Wird die nach § 25 erforderliche Mehrheit in einer Gruppe nicht erreicht, die nach § 9 Absatz 1 Satz 3 zu bilden ist, so gelten Absatz 1, § 27 Absatz 1 und § 28 für diese Gruppe nur, wenn die vorgesehene Entschädigung die Inhaber der Rechte aus der gruppeninternen Drittsicherheit für den zu erleidenden Rechtsverlust oder den Verlust der Haftung des persönlich haftenden Gesellschafters angemessen entschädigt.</w:t>
      </w:r>
    </w:p>
    <w:p>
      <w:r>
        <w:rPr>
          <w:color w:val="555555"/>
          <w:sz w:val="17"/>
        </w:rPr>
        <w:t xml:space="preserve">Zitiervorschlag: § 26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